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A016B" w:rsidR="00186045" w:rsidP="00186045" w:rsidRDefault="005D70D1" w14:paraId="2C45862E" w14:textId="7992AC9D">
      <w:pPr>
        <w:pStyle w:val="Title"/>
        <w:rPr>
          <w:rFonts w:hint="eastAsia" w:eastAsiaTheme="majorEastAsia"/>
        </w:rPr>
      </w:pPr>
      <w:r>
        <w:t>MODEL</w:t>
      </w:r>
      <w:r w:rsidR="00527480">
        <w:t xml:space="preserve"> BYLAW</w:t>
      </w:r>
    </w:p>
    <w:p w:rsidRPr="00152E0E" w:rsidR="009F1EC6" w:rsidP="00FA016B" w:rsidRDefault="00E255C3" w14:paraId="055C17D8" w14:textId="59ED0955">
      <w:pPr>
        <w:pStyle w:val="Subtitle"/>
        <w:rPr>
          <w:sz w:val="28"/>
          <w:szCs w:val="24"/>
        </w:rPr>
      </w:pPr>
      <w:r>
        <w:rPr>
          <w:sz w:val="28"/>
          <w:szCs w:val="24"/>
        </w:rPr>
        <w:t xml:space="preserve">Municipal Electric Vehicle </w:t>
      </w:r>
      <w:r w:rsidR="00FC7F32">
        <w:rPr>
          <w:sz w:val="28"/>
          <w:szCs w:val="24"/>
        </w:rPr>
        <w:t>Bylaw</w:t>
      </w:r>
    </w:p>
    <w:p w:rsidR="0095005C" w:rsidP="00045495" w:rsidRDefault="0095005C" w14:paraId="59952FCD" w14:textId="77777777">
      <w:pPr>
        <w:pBdr>
          <w:bottom w:val="single" w:color="3B778E" w:themeColor="accent1" w:sz="4" w:space="1"/>
        </w:pBdr>
      </w:pPr>
      <w:bookmarkStart w:name="_Hlk28855591" w:id="0"/>
    </w:p>
    <w:bookmarkEnd w:id="0"/>
    <w:p w:rsidRPr="002F6210" w:rsidR="00E255C3" w:rsidP="009E1BE7" w:rsidRDefault="00E255C3" w14:paraId="3700FA16" w14:textId="77777777">
      <w:pPr>
        <w:pStyle w:val="Heading1"/>
        <w:rPr>
          <w:rFonts w:hint="eastAsia"/>
        </w:rPr>
      </w:pPr>
      <w:r w:rsidRPr="009C6E95">
        <w:t>Background</w:t>
      </w:r>
    </w:p>
    <w:p w:rsidRPr="00667591" w:rsidR="00E255C3" w:rsidP="00341CA9" w:rsidRDefault="00E255C3" w14:paraId="3B86E4F3" w14:textId="77777777">
      <w:r>
        <w:t>T</w:t>
      </w:r>
      <w:r w:rsidRPr="00667591">
        <w:t xml:space="preserve">he Cape Cod Commission </w:t>
      </w:r>
      <w:r>
        <w:t xml:space="preserve">(the “Commission”) </w:t>
      </w:r>
      <w:r w:rsidRPr="00667591">
        <w:t>released the Cape Cod Climate Action Plan</w:t>
      </w:r>
      <w:r w:rsidRPr="00667591">
        <w:rPr>
          <w:rStyle w:val="FootnoteReference"/>
        </w:rPr>
        <w:footnoteReference w:id="2"/>
      </w:r>
      <w:r w:rsidRPr="00667591">
        <w:t xml:space="preserve"> (</w:t>
      </w:r>
      <w:r>
        <w:t xml:space="preserve">the </w:t>
      </w:r>
      <w:r w:rsidRPr="00667591">
        <w:t>“Plan”)</w:t>
      </w:r>
      <w:r>
        <w:t xml:space="preserve"> in July 2021</w:t>
      </w:r>
      <w:r w:rsidRPr="00667591">
        <w:t>. The Plan provides a framework for action to support a climate resilient region, and f</w:t>
      </w:r>
      <w:r>
        <w:t>ound</w:t>
      </w:r>
      <w:r w:rsidRPr="00667591">
        <w:t xml:space="preserve"> 55.5% of the region’s greenhouse gas emissions (</w:t>
      </w:r>
      <w:r>
        <w:t>“</w:t>
      </w:r>
      <w:r w:rsidRPr="00667591">
        <w:t>GHGs</w:t>
      </w:r>
      <w:r>
        <w:t>”</w:t>
      </w:r>
      <w:r w:rsidRPr="00667591">
        <w:t xml:space="preserve">) were driven by the transportation sector. To meet the Cape’s emissions reduction goals, the Plan targets that 63% to 93% of new vehicle sales would need to be electric by 2030, and 100% by 2050. Further, to support the </w:t>
      </w:r>
      <w:r>
        <w:t xml:space="preserve">estimated </w:t>
      </w:r>
      <w:r w:rsidRPr="00667591">
        <w:t>214,000 light-</w:t>
      </w:r>
      <w:r w:rsidRPr="00E255C3">
        <w:t>duty</w:t>
      </w:r>
      <w:r w:rsidRPr="00667591">
        <w:t xml:space="preserve"> EVs on the road (required to reach the 2050 emissions goals in the SER1 scenario), 8,800 public charging stations would need to be deployed. Altogether, the cumulative health benefit</w:t>
      </w:r>
      <w:r>
        <w:t>s</w:t>
      </w:r>
      <w:r w:rsidRPr="00667591">
        <w:t xml:space="preserve"> (2021-2050) driven by reduced criteria pollutants from electrifying light-duty EVs </w:t>
      </w:r>
      <w:r>
        <w:t>were</w:t>
      </w:r>
      <w:r w:rsidRPr="00667591">
        <w:t xml:space="preserve"> </w:t>
      </w:r>
      <w:r>
        <w:t xml:space="preserve">valued at </w:t>
      </w:r>
      <w:r w:rsidRPr="00667591">
        <w:t xml:space="preserve">$82 million. </w:t>
      </w:r>
      <w:r>
        <w:t xml:space="preserve">Achieving these goals will require addressing barriers to transportation electrification including their higher up-front costs, lack of familiarity with owning an EV, and model availability and range concerns. One major barrier to adoption is access to charging infrastructure. Strategic planning and regional coordination will encourage the development of EV charging infrastructure and increase awareness of EV options in support of the region’s GHG reduction goals and </w:t>
      </w:r>
      <w:r w:rsidRPr="00E4528F">
        <w:rPr>
          <w:i/>
          <w:iCs/>
        </w:rPr>
        <w:t>[insert</w:t>
      </w:r>
      <w:r>
        <w:t xml:space="preserve"> </w:t>
      </w:r>
      <w:r w:rsidRPr="00484631">
        <w:rPr>
          <w:i/>
          <w:iCs/>
        </w:rPr>
        <w:t>Town’s climate/EV-related goals]</w:t>
      </w:r>
      <w:r>
        <w:t>.</w:t>
      </w:r>
    </w:p>
    <w:p w:rsidR="00254377" w:rsidRDefault="00254377" w14:paraId="6EACB000" w14:textId="77777777">
      <w:pPr>
        <w:spacing w:after="0" w:line="240" w:lineRule="auto"/>
        <w:rPr>
          <w:rFonts w:ascii="Montserrat SemiBold" w:hAnsi="Montserrat SemiBold"/>
          <w:bCs/>
          <w:caps/>
          <w:spacing w:val="20"/>
          <w:sz w:val="22"/>
          <w:szCs w:val="28"/>
        </w:rPr>
      </w:pPr>
      <w:r>
        <w:br w:type="page"/>
      </w:r>
    </w:p>
    <w:p w:rsidRPr="00FC7F32" w:rsidR="00E255C3" w:rsidP="009E1BE7" w:rsidRDefault="00E255C3" w14:paraId="410A18A4" w14:textId="4AC7D113">
      <w:pPr>
        <w:pStyle w:val="Heading1"/>
        <w:rPr>
          <w:rFonts w:hint="eastAsia"/>
        </w:rPr>
      </w:pPr>
      <w:r w:rsidRPr="009E1BE7">
        <w:lastRenderedPageBreak/>
        <w:t>Purpose</w:t>
      </w:r>
    </w:p>
    <w:p w:rsidR="00E255C3" w:rsidP="00E255C3" w:rsidRDefault="00E255C3" w14:paraId="3B6027AA" w14:textId="77777777">
      <w:pPr>
        <w:rPr>
          <w:b/>
        </w:rPr>
      </w:pPr>
      <w:r w:rsidRPr="00023C47">
        <w:t>The purpose of this by-law is to support municipalities to encourage the strategic siting and installation of EV charging infrastructure</w:t>
      </w:r>
      <w:r w:rsidRPr="0033560C">
        <w:rPr>
          <w:b/>
        </w:rPr>
        <w:t>. This by-law defines three levels of recommended requirements to encourage EV charging development</w:t>
      </w:r>
      <w:r>
        <w:rPr>
          <w:b/>
        </w:rPr>
        <w:t>:</w:t>
      </w:r>
    </w:p>
    <w:p w:rsidRPr="0033560C" w:rsidR="00E255C3" w:rsidRDefault="00E255C3" w14:paraId="72DE87A9" w14:textId="77777777">
      <w:pPr>
        <w:pStyle w:val="ListParagraph"/>
        <w:numPr>
          <w:ilvl w:val="0"/>
          <w:numId w:val="10"/>
        </w:numPr>
        <w:spacing w:line="259" w:lineRule="auto"/>
      </w:pPr>
      <w:r w:rsidRPr="0033560C">
        <w:rPr>
          <w:b/>
          <w:u w:val="single"/>
        </w:rPr>
        <w:t>Base</w:t>
      </w:r>
      <w:r w:rsidRPr="0033560C">
        <w:rPr>
          <w:b/>
        </w:rPr>
        <w:t xml:space="preserve"> </w:t>
      </w:r>
      <w:r w:rsidRPr="00454EA0">
        <w:rPr>
          <w:bCs/>
        </w:rPr>
        <w:t>requirements</w:t>
      </w:r>
      <w:r w:rsidRPr="0033560C">
        <w:rPr>
          <w:b/>
        </w:rPr>
        <w:t xml:space="preserve"> </w:t>
      </w:r>
      <w:r w:rsidRPr="008D27A5">
        <w:rPr>
          <w:bCs/>
        </w:rPr>
        <w:t>closely align with Massachusetts’s Stretch and Specialized Opt-in Code, finalized on September 23</w:t>
      </w:r>
      <w:r w:rsidRPr="008D27A5">
        <w:rPr>
          <w:bCs/>
          <w:vertAlign w:val="superscript"/>
        </w:rPr>
        <w:t xml:space="preserve">, </w:t>
      </w:r>
      <w:r w:rsidRPr="008D27A5">
        <w:rPr>
          <w:bCs/>
        </w:rPr>
        <w:t>2022.</w:t>
      </w:r>
      <w:r w:rsidRPr="0033560C">
        <w:rPr>
          <w:b/>
        </w:rPr>
        <w:t xml:space="preserve"> </w:t>
      </w:r>
    </w:p>
    <w:p w:rsidRPr="008D27A5" w:rsidR="00E255C3" w:rsidRDefault="00E255C3" w14:paraId="5E07559B" w14:textId="77777777">
      <w:pPr>
        <w:pStyle w:val="ListParagraph"/>
        <w:numPr>
          <w:ilvl w:val="0"/>
          <w:numId w:val="10"/>
        </w:numPr>
        <w:spacing w:line="259" w:lineRule="auto"/>
        <w:rPr>
          <w:bCs/>
        </w:rPr>
      </w:pPr>
      <w:r w:rsidRPr="0033560C">
        <w:rPr>
          <w:b/>
          <w:u w:val="single"/>
        </w:rPr>
        <w:t>Base Plus</w:t>
      </w:r>
      <w:r w:rsidRPr="0033560C">
        <w:rPr>
          <w:b/>
        </w:rPr>
        <w:t xml:space="preserve"> </w:t>
      </w:r>
      <w:r w:rsidRPr="008D27A5">
        <w:rPr>
          <w:bCs/>
        </w:rPr>
        <w:t>provide</w:t>
      </w:r>
      <w:r w:rsidRPr="0033560C">
        <w:rPr>
          <w:bCs/>
        </w:rPr>
        <w:t>s</w:t>
      </w:r>
      <w:r w:rsidRPr="008D27A5">
        <w:rPr>
          <w:bCs/>
        </w:rPr>
        <w:t xml:space="preserve"> more advanced requirements for municipalities who wish to consider increased support for EV charging infrastructure deployment. </w:t>
      </w:r>
    </w:p>
    <w:p w:rsidR="00E255C3" w:rsidRDefault="00E255C3" w14:paraId="5A6BF4D9" w14:textId="77777777">
      <w:pPr>
        <w:pStyle w:val="ListParagraph"/>
        <w:numPr>
          <w:ilvl w:val="0"/>
          <w:numId w:val="10"/>
        </w:numPr>
        <w:spacing w:line="259" w:lineRule="auto"/>
      </w:pPr>
      <w:r w:rsidRPr="00167670">
        <w:rPr>
          <w:b/>
          <w:u w:val="single"/>
        </w:rPr>
        <w:t>Reach</w:t>
      </w:r>
      <w:r w:rsidRPr="00167670">
        <w:rPr>
          <w:b/>
        </w:rPr>
        <w:t xml:space="preserve"> </w:t>
      </w:r>
      <w:r>
        <w:t>supplements the Base Plus level with stronger EV readiness provisions for communities taking a more proactive stance to supporting development of EV charging infrastructure.</w:t>
      </w:r>
    </w:p>
    <w:p w:rsidR="00E255C3" w:rsidP="00254377" w:rsidRDefault="00E255C3" w14:paraId="7A9D04FE" w14:textId="77777777">
      <w:r w:rsidRPr="00023C47">
        <w:t xml:space="preserve">The recommendations proposed in this </w:t>
      </w:r>
      <w:r>
        <w:t xml:space="preserve">model </w:t>
      </w:r>
      <w:r w:rsidRPr="00023C47">
        <w:t>by-law are intended to be flexible</w:t>
      </w:r>
      <w:r>
        <w:t xml:space="preserve">. Municipalities may want </w:t>
      </w:r>
      <w:r w:rsidRPr="00023C47">
        <w:t>to tailor and select requirements most applicable to their jurisdiction, and to fit their specific needs and goals.</w:t>
      </w:r>
    </w:p>
    <w:p w:rsidRPr="00341CA9" w:rsidR="00E255C3" w:rsidP="00341CA9" w:rsidRDefault="00E255C3" w14:paraId="3AEF749B" w14:textId="40010994">
      <w:r w:rsidRPr="00341CA9">
        <w:t>In developing EV by-laws, special consideration should be given to balancing the benefit of increased EV adoption – and resulting health benefits – with potential project cost increases. Specifically, installing electric infrastructure to serve EV chargers is most cost-effective during new construction, versus during a retrofit. A recent California Air Resources Board (CARB) report concluded retrofit costs to serve an EV charger can be between $7,000 and $8,000 per space, whereas making a space EV Capable during construction costs between $870-960</w:t>
      </w:r>
      <w:r w:rsidRPr="00341CA9">
        <w:footnoteReference w:id="3"/>
      </w:r>
      <w:r w:rsidRPr="00341CA9">
        <w:t>. The Technical Sections of these by-laws recommend EV chargers be installed on occupancy where it is reasonable to expect more robust charger utilization – namely, where people dwell such as at home, at the workplace, or at hotels and motels. For other types of buildings, these by-laws recommend considering EV-readiness requirements to reduce the cost and complexity of potential future charging installations.</w:t>
      </w:r>
    </w:p>
    <w:p w:rsidR="00E255C3" w:rsidP="00341CA9" w:rsidRDefault="00E255C3" w14:paraId="0F593F32" w14:textId="77777777">
      <w:pPr>
        <w:rPr>
          <w:shd w:val="clear" w:color="auto" w:fill="FFFFFF"/>
        </w:rPr>
      </w:pPr>
      <w:r w:rsidRPr="00025817">
        <w:t>Another special consideration should be given to multi-family dwellings where “</w:t>
      </w:r>
      <w:r w:rsidRPr="00025817">
        <w:rPr>
          <w:shd w:val="clear" w:color="auto" w:fill="FFFFFF"/>
        </w:rPr>
        <w:t>the additional cost to install conduit between the electrical panel and their parking space, and the logistical challenges of securing HOA approval, coordinating the EV charger billing with the building owner, and persuading an owner to make a long-term investment on a rental property, are all significant obstacles to EV ownership”</w:t>
      </w:r>
      <w:r w:rsidRPr="00025817">
        <w:rPr>
          <w:rStyle w:val="FootnoteReference"/>
          <w:rFonts w:cstheme="minorHAnsi"/>
          <w:spacing w:val="3"/>
          <w:shd w:val="clear" w:color="auto" w:fill="FFFFFF"/>
        </w:rPr>
        <w:footnoteReference w:id="4"/>
      </w:r>
      <w:r w:rsidRPr="00025817">
        <w:rPr>
          <w:shd w:val="clear" w:color="auto" w:fill="FFFFFF"/>
        </w:rPr>
        <w:t xml:space="preserve">. To address these barriers, it is important to encourage the development of EV charging infrastructure at workplaces and at publicly available sites and encourage low-cost charging options for multi-family dwellings. </w:t>
      </w:r>
    </w:p>
    <w:p w:rsidRPr="00341CA9" w:rsidR="00E255C3" w:rsidP="00341CA9" w:rsidRDefault="00E255C3" w14:paraId="6DDA0F51" w14:textId="77777777">
      <w:r w:rsidRPr="00341CA9">
        <w:t xml:space="preserve">Special consideration should also be given to the types of chargers installed – Level 1, Level 2, or DCFC (see definitions below). Per a 2021 </w:t>
      </w:r>
      <w:r w:rsidRPr="00341CA9">
        <w:rPr>
          <w:rFonts w:eastAsiaTheme="majorEastAsia"/>
        </w:rPr>
        <w:t xml:space="preserve">Forbes report – based on a JD Powers study – roughly </w:t>
      </w:r>
      <w:r w:rsidRPr="00341CA9">
        <w:t>80% of EV charging is done overnight at home or at work,</w:t>
      </w:r>
      <w:r w:rsidRPr="00341CA9">
        <w:rPr>
          <w:vertAlign w:val="superscript"/>
        </w:rPr>
        <w:footnoteReference w:id="5"/>
      </w:r>
      <w:r w:rsidRPr="00341CA9">
        <w:rPr>
          <w:vertAlign w:val="superscript"/>
        </w:rPr>
        <w:t xml:space="preserve"> </w:t>
      </w:r>
      <w:r w:rsidRPr="00341CA9">
        <w:t xml:space="preserve">and for most EV owners, a Level 2 plug will accommodate average daily use – which the </w:t>
      </w:r>
      <w:r w:rsidRPr="00341CA9">
        <w:rPr>
          <w:rFonts w:eastAsia="Calibri"/>
        </w:rPr>
        <w:t xml:space="preserve">U.S. Federal Highway Administration estimates to be </w:t>
      </w:r>
      <w:r w:rsidRPr="00341CA9">
        <w:t>an average 50 miles per day.</w:t>
      </w:r>
      <w:r w:rsidRPr="00341CA9">
        <w:rPr>
          <w:vertAlign w:val="superscript"/>
        </w:rPr>
        <w:footnoteReference w:id="6"/>
      </w:r>
      <w:r w:rsidRPr="00341CA9">
        <w:rPr>
          <w:vertAlign w:val="superscript"/>
        </w:rPr>
        <w:t xml:space="preserve"> </w:t>
      </w:r>
      <w:r w:rsidRPr="00341CA9">
        <w:t>For this reason, the recommended requirements in these model by-laws focus on policies which encourage the build out of Level 2 charging – and in certain cases, Level 1 charging. However, as EV adoption increases, the role for DCFC charging will increase in importance as well – especially along travel corridors to serve long-distance trips. The buildout of DCFC infrastructure will require regional, state- and federal-level coordination. For that reason, these bylaws consider DCFC charging on a limited basis.</w:t>
      </w:r>
    </w:p>
    <w:p w:rsidRPr="00EC0EA9" w:rsidR="00E255C3" w:rsidP="009E1BE7" w:rsidRDefault="00E255C3" w14:paraId="618A926E" w14:textId="77777777">
      <w:pPr>
        <w:pStyle w:val="Heading1"/>
        <w:rPr>
          <w:rFonts w:hint="eastAsia"/>
        </w:rPr>
      </w:pPr>
      <w:r w:rsidRPr="00D7C3BA">
        <w:t>Definitions</w:t>
      </w:r>
    </w:p>
    <w:p w:rsidRPr="00035E40" w:rsidR="00E255C3" w:rsidP="00341CA9" w:rsidRDefault="00E255C3" w14:paraId="1C20777B" w14:textId="77777777">
      <w:pPr>
        <w:rPr>
          <w:color w:val="2C586A" w:themeColor="accent1" w:themeShade="BF"/>
        </w:rPr>
      </w:pPr>
      <w:r w:rsidRPr="00035E40">
        <w:rPr>
          <w:b/>
          <w:bCs/>
        </w:rPr>
        <w:t>Automatic Load Management Systems (ALMS)</w:t>
      </w:r>
      <w:r>
        <w:t xml:space="preserve">: A control system that allows multiple connected electric vehicle supply equipment (EVSE) to share a circuit or panel and automatically manage power at each charger, reducing the total connected electrical capacity of all EVSE. </w:t>
      </w:r>
    </w:p>
    <w:p w:rsidRPr="00F23B6E" w:rsidR="00E255C3" w:rsidP="00341CA9" w:rsidRDefault="00E255C3" w14:paraId="24946448" w14:textId="77777777">
      <w:pPr>
        <w:rPr>
          <w:color w:val="2C586A" w:themeColor="accent1" w:themeShade="BF"/>
        </w:rPr>
      </w:pPr>
      <w:r w:rsidRPr="00F23B6E">
        <w:rPr>
          <w:b/>
          <w:bCs/>
        </w:rPr>
        <w:t>Direct Current (DC) Fast Charging EVSE</w:t>
      </w:r>
      <w:r>
        <w:t xml:space="preserve">: DCFC EVSE delivers high voltage (typically 200-450V) DC power directly into the EV’s battery system, enabling rapid charging. An 80% charge can be provided in 30 minutes or less for many all-electric vehicles, compared to several hours for Level 2 charging. There are three available plug standards for DC fast charging, the SAE Combined Charging System (CCS) format used by most electric vehicle manufacturers, the Tesla Supercharger proprietary system, and the CHAdeMO plug used by the Nissan LEAF and some older Kia and Mitsubishi vehicles. The Federal Highway Administration (FHWA) is requiring SAE CCS charging equipment for installations funded through the National Electric Vehicle Infrastructure (NEVI) program. The CCS plug is expected to grow in popularity as Tesla has recently made a CCS to Supercharger adapter available. Tesla may also offer CCS DCFC plug equipment options at Supercharging locations in the future. </w:t>
      </w:r>
    </w:p>
    <w:p w:rsidRPr="00025817" w:rsidR="00E255C3" w:rsidP="00341CA9" w:rsidRDefault="00E255C3" w14:paraId="6BD7D347" w14:textId="77777777">
      <w:pPr>
        <w:rPr>
          <w:color w:val="2C586A" w:themeColor="accent1" w:themeShade="BF"/>
        </w:rPr>
      </w:pPr>
      <w:r w:rsidRPr="00025817">
        <w:rPr>
          <w:b/>
          <w:bCs/>
        </w:rPr>
        <w:t>Electric Vehicle</w:t>
      </w:r>
      <w:r>
        <w:t xml:space="preserve">: An automotive-type vehicle for on-road use, such as passenger automobiles, buses, trucks, vans, neighborhood electric vehicles, electric motorcycles, and the like, primarily powered by an electric motor that draws current from a rechargeable storage battery, fuel cell, photovoltaic array, or other source of electric current. Informational Note: defined as in 527 CMR 12.00: Massachusetts Electrical Code (Amendments) section 625.2. </w:t>
      </w:r>
    </w:p>
    <w:p w:rsidR="00E255C3" w:rsidP="00E255C3" w:rsidRDefault="00E255C3" w14:paraId="51D142AD" w14:textId="77777777">
      <w:r>
        <w:rPr>
          <w:b/>
          <w:bCs/>
        </w:rPr>
        <w:t xml:space="preserve">Electric Vehicle </w:t>
      </w:r>
      <w:r w:rsidRPr="007404D3">
        <w:rPr>
          <w:b/>
          <w:bCs/>
        </w:rPr>
        <w:t>Capable Space</w:t>
      </w:r>
      <w:r>
        <w:rPr>
          <w:b/>
          <w:bCs/>
        </w:rPr>
        <w:t xml:space="preserve"> (EV Capable Space)</w:t>
      </w:r>
      <w:r>
        <w:t xml:space="preserve">: A vehicle space with electrical panel space and load capacity to support a branch circuit and </w:t>
      </w:r>
      <w:r w:rsidRPr="00E67FBD">
        <w:t>necessary raceways, both underground and/or surface mounted, to support EV charging.</w:t>
      </w:r>
    </w:p>
    <w:p w:rsidRPr="00771AD1" w:rsidR="00E255C3" w:rsidP="00E255C3" w:rsidRDefault="00E255C3" w14:paraId="63F7D8A9" w14:textId="77777777">
      <w:pPr>
        <w:rPr>
          <w:color w:val="2C586A" w:themeColor="accent1" w:themeShade="BF"/>
        </w:rPr>
      </w:pPr>
      <w:r w:rsidRPr="00771AD1">
        <w:rPr>
          <w:b/>
          <w:bCs/>
        </w:rPr>
        <w:t>Electric Vehicle Charging Port</w:t>
      </w:r>
      <w:r>
        <w:rPr>
          <w:b/>
          <w:bCs/>
        </w:rPr>
        <w:t xml:space="preserve"> (EV Charging Port)</w:t>
      </w:r>
      <w:r>
        <w:t xml:space="preserve">: The EVSE component which connects to vehicle charging inlets. One EVSE unit may contain multiple charging ports, which are also referred to as “plug connectors” or “heads”.  Level 1 ports include connectors supplied by level 1 EVSE as well as any standard 120V outlets able to supply 15 or more amps of current to be used with the level 1 EVSE supplied by vehicle manufacturers. </w:t>
      </w:r>
    </w:p>
    <w:p w:rsidRPr="00771AD1" w:rsidR="00E255C3" w:rsidP="00E255C3" w:rsidRDefault="00E255C3" w14:paraId="363FC83A" w14:textId="77777777">
      <w:pPr>
        <w:rPr>
          <w:color w:val="2C586A" w:themeColor="accent1" w:themeShade="BF"/>
        </w:rPr>
      </w:pPr>
      <w:r w:rsidRPr="00771AD1">
        <w:rPr>
          <w:b/>
          <w:bCs/>
        </w:rPr>
        <w:t>Electric Vehicle Charging Station</w:t>
      </w:r>
      <w:r>
        <w:t xml:space="preserve">: The public or private parking space(s) served by EVSE, including all signs, information, pavement surfaces, surface markings, fee collection systems, and protective equipment, in which a vehicle is recharged. </w:t>
      </w:r>
    </w:p>
    <w:p w:rsidR="00E255C3" w:rsidP="00E255C3" w:rsidRDefault="00E255C3" w14:paraId="47F12413" w14:textId="77777777">
      <w:r w:rsidRPr="00A33090">
        <w:rPr>
          <w:b/>
          <w:bCs/>
        </w:rPr>
        <w:t xml:space="preserve">Electric Vehicle Ready </w:t>
      </w:r>
      <w:r>
        <w:rPr>
          <w:b/>
          <w:bCs/>
        </w:rPr>
        <w:t xml:space="preserve">Parking </w:t>
      </w:r>
      <w:r w:rsidRPr="00A33090">
        <w:rPr>
          <w:b/>
          <w:bCs/>
        </w:rPr>
        <w:t>Space (EV</w:t>
      </w:r>
      <w:r>
        <w:rPr>
          <w:b/>
          <w:bCs/>
        </w:rPr>
        <w:t xml:space="preserve"> </w:t>
      </w:r>
      <w:r w:rsidRPr="00A33090">
        <w:rPr>
          <w:b/>
          <w:bCs/>
        </w:rPr>
        <w:t>Ready</w:t>
      </w:r>
      <w:r>
        <w:rPr>
          <w:b/>
          <w:bCs/>
        </w:rPr>
        <w:t xml:space="preserve"> Space</w:t>
      </w:r>
      <w:r w:rsidRPr="00A33090">
        <w:rPr>
          <w:b/>
          <w:bCs/>
        </w:rPr>
        <w:t>)</w:t>
      </w:r>
      <w:r>
        <w:t xml:space="preserve">: A designated parking space which is provided with wiring and electrical service sufficient to provide AC Level 2 or equivalent EV charging, as defined by Standard SAE J1772 for EVSE servicing light duty Electric Vehicles. </w:t>
      </w:r>
    </w:p>
    <w:p w:rsidRPr="00025817" w:rsidR="00E255C3" w:rsidP="00E255C3" w:rsidRDefault="00E255C3" w14:paraId="0901BFED" w14:textId="77777777">
      <w:pPr>
        <w:rPr>
          <w:color w:val="2C586A" w:themeColor="accent1" w:themeShade="BF"/>
        </w:rPr>
      </w:pPr>
      <w:r w:rsidRPr="00025817">
        <w:rPr>
          <w:b/>
          <w:bCs/>
        </w:rPr>
        <w:t>Electric Vehicle Supply Equipment (EVSE)</w:t>
      </w:r>
      <w:r>
        <w:t xml:space="preserve">: The conductors, including the ungrounded, grounded, and equipment grounding conductors, and the Electric Vehicle connectors, attachment plugs, and all other fittings, devices, power outlets, or apparatus installed specifically for the purpose of transferring energy between the premises wiring and the Electric Vehicle. Informational Note: defined as in 527 CMR 12.00: Massachusetts Electrical Code (Amendments) section 625.2. </w:t>
      </w:r>
    </w:p>
    <w:p w:rsidR="00E255C3" w:rsidP="00E255C3" w:rsidRDefault="00E255C3" w14:paraId="232CA477" w14:textId="77777777">
      <w:r>
        <w:rPr>
          <w:b/>
          <w:bCs/>
        </w:rPr>
        <w:t xml:space="preserve">Electric Vehicle Supply Equipment Parking Space (EVSE Space): </w:t>
      </w:r>
      <w:r>
        <w:t xml:space="preserve">A designated parking space which is provided with a dedicated EVSE connection. </w:t>
      </w:r>
    </w:p>
    <w:p w:rsidRPr="00771AD1" w:rsidR="00E255C3" w:rsidP="00E255C3" w:rsidRDefault="00E255C3" w14:paraId="02AE3A02" w14:textId="77777777">
      <w:pPr>
        <w:rPr>
          <w:color w:val="2C586A" w:themeColor="accent1" w:themeShade="BF"/>
        </w:rPr>
      </w:pPr>
      <w:r w:rsidRPr="00771AD1">
        <w:rPr>
          <w:b/>
          <w:bCs/>
        </w:rPr>
        <w:t>Level 1 EVSE</w:t>
      </w:r>
      <w:r>
        <w:t xml:space="preserve">: EVSE which uses a 120V AC connection to a standard residential/commercial electrical outlet typically supplying 15 amps of current, for a power draw around 1.4 – 1.8 kW when charging. All EVs come equipped with Level 1 chargers from auto manufacturers. </w:t>
      </w:r>
    </w:p>
    <w:p w:rsidR="00E255C3" w:rsidP="00E255C3" w:rsidRDefault="00E255C3" w14:paraId="70F40ADB" w14:textId="77777777">
      <w:r w:rsidRPr="00557D3B">
        <w:rPr>
          <w:b/>
          <w:bCs/>
        </w:rPr>
        <w:t>Level 2 EVSE</w:t>
      </w:r>
      <w:r>
        <w:t xml:space="preserve">: EVSE which uses a 208/240V AC connection to supply increased power to EVs, reducing the amount of time required to charge the EV battery. Level 2 EVSE can provide up to 80 amps of current and 19.2 kW of power, although most current EVs can only accept 3.3 to 10 kW as determined by the vehicle’s onboard charger. Current Level 2 EVSE equipment typically uses 208/240V 40-50 amp supply circuits. </w:t>
      </w:r>
    </w:p>
    <w:p w:rsidR="00E255C3" w:rsidP="00E255C3" w:rsidRDefault="00E255C3" w14:paraId="5D51733D" w14:textId="77777777">
      <w:r w:rsidRPr="00A07C42">
        <w:rPr>
          <w:b/>
          <w:bCs/>
        </w:rPr>
        <w:t>Low Power Level 2 EVSE</w:t>
      </w:r>
      <w:r>
        <w:t xml:space="preserve">: A 208/240-volt 20-ampere minimum branch circuit and a receptacle for use by an EV driver to charge their electric vehicle or hybrid electric vehicle. </w:t>
      </w:r>
    </w:p>
    <w:p w:rsidRPr="006A5DB9" w:rsidR="00E255C3" w:rsidP="00E255C3" w:rsidRDefault="00E255C3" w14:paraId="18BEC97F" w14:textId="77777777">
      <w:pPr>
        <w:spacing w:before="160"/>
      </w:pPr>
      <w:r w:rsidRPr="00646C25">
        <w:rPr>
          <w:b/>
          <w:bCs/>
        </w:rPr>
        <w:t xml:space="preserve">Low Power </w:t>
      </w:r>
      <w:r>
        <w:rPr>
          <w:b/>
          <w:bCs/>
        </w:rPr>
        <w:t xml:space="preserve">Level 2 EV Ready </w:t>
      </w:r>
      <w:r w:rsidRPr="00646C25">
        <w:rPr>
          <w:b/>
          <w:bCs/>
        </w:rPr>
        <w:t>Space</w:t>
      </w:r>
      <w:r>
        <w:rPr>
          <w:b/>
          <w:bCs/>
        </w:rPr>
        <w:t xml:space="preserve">: </w:t>
      </w:r>
      <w:r>
        <w:t>A designated parking space which is provided with wiring and electrical service sufficient to serve a Low Power Lever 2 EVSE</w:t>
      </w:r>
      <w:r w:rsidRPr="00646C25">
        <w:t>.</w:t>
      </w:r>
    </w:p>
    <w:p w:rsidRPr="00EC0EA9" w:rsidR="00E255C3" w:rsidP="009E1BE7" w:rsidRDefault="00E255C3" w14:paraId="6A44DAE9" w14:textId="77777777">
      <w:pPr>
        <w:pStyle w:val="Heading1"/>
        <w:rPr>
          <w:rFonts w:hint="eastAsia"/>
        </w:rPr>
      </w:pPr>
      <w:r w:rsidRPr="00EC0EA9">
        <w:t xml:space="preserve">Technical </w:t>
      </w:r>
      <w:r w:rsidRPr="009E1BE7">
        <w:t>Sections</w:t>
      </w:r>
    </w:p>
    <w:p w:rsidRPr="0033560C" w:rsidR="00E255C3" w:rsidP="009C6E95" w:rsidRDefault="00E255C3" w14:paraId="6E8F0B50" w14:textId="77777777">
      <w:pPr>
        <w:pStyle w:val="Style1"/>
      </w:pPr>
      <w:r w:rsidRPr="0033560C">
        <w:t xml:space="preserve">Suggested By-Law Requirements for </w:t>
      </w:r>
      <w:r w:rsidRPr="009C6E95">
        <w:t>Residential</w:t>
      </w:r>
      <w:r w:rsidRPr="0033560C">
        <w:t xml:space="preserve"> buildings </w:t>
      </w:r>
    </w:p>
    <w:p w:rsidRPr="00341CA9" w:rsidR="00E255C3" w:rsidP="009C6E95" w:rsidRDefault="00E255C3" w14:paraId="00B1E0C5" w14:textId="77777777">
      <w:pPr>
        <w:spacing w:before="360"/>
        <w:rPr>
          <w:rStyle w:val="Deliverables"/>
        </w:rPr>
      </w:pPr>
      <w:r w:rsidRPr="00341CA9">
        <w:rPr>
          <w:rStyle w:val="Deliverables"/>
        </w:rPr>
        <w:t xml:space="preserve">Recommended Language: </w:t>
      </w:r>
    </w:p>
    <w:p w:rsidRPr="0033560C" w:rsidR="00E255C3" w:rsidP="00FC7F32" w:rsidRDefault="00E255C3" w14:paraId="43089DD6" w14:textId="77777777">
      <w:pPr>
        <w:rPr>
          <w:b/>
        </w:rPr>
      </w:pPr>
      <w:r w:rsidRPr="00266932">
        <w:t xml:space="preserve">To meet anticipated demand for EV charging stations as the technology becomes more widespread, installed parking spaces should meet the requirements outlined in </w:t>
      </w:r>
      <w:r>
        <w:t>Table 1, below</w:t>
      </w:r>
      <w:r w:rsidRPr="00266932">
        <w:t>.</w:t>
      </w:r>
      <w:r w:rsidRPr="00AB275C">
        <w:rPr>
          <w:bCs/>
        </w:rPr>
        <w:t xml:space="preserve"> </w:t>
      </w:r>
      <w:r w:rsidRPr="00134C7B">
        <w:rPr>
          <w:bCs/>
        </w:rPr>
        <w:t>Calculations for spaces shall be rounded up to the nearest whole number but will always be a value of at least one EV Charging Port to be available at the time of development occupancy.</w:t>
      </w:r>
    </w:p>
    <w:p w:rsidRPr="0033560C" w:rsidR="00E255C3" w:rsidP="00341CA9" w:rsidRDefault="00E255C3" w14:paraId="3C9C0465" w14:textId="77777777">
      <w:pPr>
        <w:pStyle w:val="Caption"/>
        <w:rPr>
          <w:rFonts w:hint="eastAsia"/>
        </w:rPr>
      </w:pPr>
      <w:r w:rsidRPr="0033560C">
        <w:t xml:space="preserve">Table </w:t>
      </w:r>
      <w:r>
        <w:fldChar w:fldCharType="begin"/>
      </w:r>
      <w:r>
        <w:instrText>SEQ Table \* ARABIC</w:instrText>
      </w:r>
      <w:r>
        <w:fldChar w:fldCharType="separate"/>
      </w:r>
      <w:r w:rsidRPr="0033560C">
        <w:rPr>
          <w:noProof/>
        </w:rPr>
        <w:t>1</w:t>
      </w:r>
      <w:r>
        <w:fldChar w:fldCharType="end"/>
      </w:r>
      <w:r>
        <w:rPr>
          <w:noProof/>
        </w:rPr>
        <w:t>: Recommended requirements for residential buildings</w:t>
      </w:r>
    </w:p>
    <w:tbl>
      <w:tblPr>
        <w:tblStyle w:val="GridTable1Light-Accent3"/>
        <w:tblW w:w="90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761"/>
        <w:gridCol w:w="2443"/>
        <w:gridCol w:w="2443"/>
        <w:gridCol w:w="2443"/>
      </w:tblGrid>
      <w:tr w:rsidRPr="00D123B7" w:rsidR="00E255C3" w:rsidTr="00AF703F" w14:paraId="0807970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color="auto" w:sz="4" w:space="0"/>
            </w:tcBorders>
            <w:shd w:val="clear" w:color="auto" w:fill="D9D9D9" w:themeFill="background1" w:themeFillShade="D9"/>
          </w:tcPr>
          <w:p w:rsidRPr="00FC7F32" w:rsidR="00E255C3" w:rsidP="00FC7F32" w:rsidRDefault="00E255C3" w14:paraId="486159FA" w14:textId="77777777">
            <w:r w:rsidRPr="00FC7F32">
              <w:t>Type of Building</w:t>
            </w:r>
          </w:p>
        </w:tc>
        <w:tc>
          <w:tcPr>
            <w:tcW w:w="0" w:type="dxa"/>
            <w:tcBorders>
              <w:bottom w:val="single" w:color="auto" w:sz="4" w:space="0"/>
            </w:tcBorders>
            <w:shd w:val="clear" w:color="auto" w:fill="D9D9D9" w:themeFill="background1" w:themeFillShade="D9"/>
          </w:tcPr>
          <w:p w:rsidRPr="0033560C" w:rsidR="00E255C3" w:rsidP="00341CA9" w:rsidRDefault="00E255C3" w14:paraId="0F17CE92" w14:textId="022D6958">
            <w:pPr>
              <w:cnfStyle w:val="100000000000" w:firstRow="1" w:lastRow="0" w:firstColumn="0" w:lastColumn="0" w:oddVBand="0" w:evenVBand="0" w:oddHBand="0" w:evenHBand="0" w:firstRowFirstColumn="0" w:firstRowLastColumn="0" w:lastRowFirstColumn="0" w:lastRowLastColumn="0"/>
            </w:pPr>
            <w:r w:rsidRPr="0033560C">
              <w:t>Base Recommendation</w:t>
            </w:r>
          </w:p>
        </w:tc>
        <w:tc>
          <w:tcPr>
            <w:tcW w:w="0" w:type="dxa"/>
            <w:tcBorders>
              <w:bottom w:val="single" w:color="auto" w:sz="4" w:space="0"/>
            </w:tcBorders>
            <w:shd w:val="clear" w:color="auto" w:fill="D9D9D9" w:themeFill="background1" w:themeFillShade="D9"/>
          </w:tcPr>
          <w:p w:rsidRPr="0033560C" w:rsidR="00E255C3" w:rsidP="00341CA9" w:rsidRDefault="00E255C3" w14:paraId="360AABAA" w14:textId="39BB1A68">
            <w:pPr>
              <w:cnfStyle w:val="100000000000" w:firstRow="1" w:lastRow="0" w:firstColumn="0" w:lastColumn="0" w:oddVBand="0" w:evenVBand="0" w:oddHBand="0" w:evenHBand="0" w:firstRowFirstColumn="0" w:firstRowLastColumn="0" w:lastRowFirstColumn="0" w:lastRowLastColumn="0"/>
            </w:pPr>
            <w:r w:rsidRPr="0033560C">
              <w:t>Base Plus</w:t>
            </w:r>
            <w:r w:rsidR="00581F1F">
              <w:t xml:space="preserve"> </w:t>
            </w:r>
            <w:r w:rsidRPr="0033560C">
              <w:t>Recommendation</w:t>
            </w:r>
          </w:p>
        </w:tc>
        <w:tc>
          <w:tcPr>
            <w:tcW w:w="0" w:type="dxa"/>
            <w:tcBorders>
              <w:bottom w:val="single" w:color="auto" w:sz="4" w:space="0"/>
            </w:tcBorders>
            <w:shd w:val="clear" w:color="auto" w:fill="D9D9D9" w:themeFill="background1" w:themeFillShade="D9"/>
          </w:tcPr>
          <w:p w:rsidRPr="0033560C" w:rsidR="00E255C3" w:rsidP="00341CA9" w:rsidRDefault="00E255C3" w14:paraId="52685812" w14:textId="77777777">
            <w:pPr>
              <w:cnfStyle w:val="100000000000" w:firstRow="1" w:lastRow="0" w:firstColumn="0" w:lastColumn="0" w:oddVBand="0" w:evenVBand="0" w:oddHBand="0" w:evenHBand="0" w:firstRowFirstColumn="0" w:firstRowLastColumn="0" w:lastRowFirstColumn="0" w:lastRowLastColumn="0"/>
            </w:pPr>
            <w:r w:rsidRPr="0033560C">
              <w:t>Reach Recommendation</w:t>
            </w:r>
          </w:p>
        </w:tc>
      </w:tr>
      <w:tr w:rsidRPr="00D123B7" w:rsidR="00E255C3" w:rsidTr="00AF703F" w14:paraId="57EDD282" w14:textId="77777777">
        <w:tc>
          <w:tcPr>
            <w:cnfStyle w:val="001000000000" w:firstRow="0" w:lastRow="0" w:firstColumn="1" w:lastColumn="0" w:oddVBand="0" w:evenVBand="0" w:oddHBand="0" w:evenHBand="0" w:firstRowFirstColumn="0" w:firstRowLastColumn="0" w:lastRowFirstColumn="0" w:lastRowLastColumn="0"/>
            <w:tcW w:w="0" w:type="dxa"/>
            <w:tcBorders>
              <w:top w:val="single" w:color="auto" w:sz="4" w:space="0"/>
            </w:tcBorders>
          </w:tcPr>
          <w:p w:rsidRPr="00AF703F" w:rsidR="00E255C3" w:rsidP="00341CA9" w:rsidRDefault="00E255C3" w14:paraId="263A0EB6" w14:textId="77777777">
            <w:pPr>
              <w:rPr>
                <w:b w:val="0"/>
                <w:bCs w:val="0"/>
                <w:iCs/>
              </w:rPr>
            </w:pPr>
            <w:r w:rsidRPr="00576943">
              <w:t>1 &amp; 2 family dwellings and townhouses</w:t>
            </w:r>
          </w:p>
        </w:tc>
        <w:tc>
          <w:tcPr>
            <w:tcW w:w="0" w:type="dxa"/>
            <w:tcBorders>
              <w:top w:val="single" w:color="auto" w:sz="4" w:space="0"/>
            </w:tcBorders>
          </w:tcPr>
          <w:p w:rsidRPr="0033560C" w:rsidR="00E255C3" w:rsidP="00341CA9" w:rsidRDefault="00E255C3" w14:paraId="1C5318D0" w14:textId="77777777">
            <w:pPr>
              <w:cnfStyle w:val="000000000000" w:firstRow="0" w:lastRow="0" w:firstColumn="0" w:lastColumn="0" w:oddVBand="0" w:evenVBand="0" w:oddHBand="0" w:evenHBand="0" w:firstRowFirstColumn="0" w:firstRowLastColumn="0" w:lastRowFirstColumn="0" w:lastRowLastColumn="0"/>
              <w:rPr>
                <w:vertAlign w:val="superscript"/>
              </w:rPr>
            </w:pPr>
            <w:r w:rsidRPr="0033560C">
              <w:t xml:space="preserve">At least </w:t>
            </w:r>
            <w:r w:rsidRPr="0033560C">
              <w:rPr>
                <w:u w:val="single"/>
              </w:rPr>
              <w:t>one (1) EV Ready Space</w:t>
            </w:r>
            <w:r w:rsidRPr="0033560C">
              <w:t xml:space="preserve"> per household</w:t>
            </w:r>
          </w:p>
        </w:tc>
        <w:tc>
          <w:tcPr>
            <w:tcW w:w="0" w:type="dxa"/>
            <w:tcBorders>
              <w:top w:val="single" w:color="auto" w:sz="4" w:space="0"/>
            </w:tcBorders>
          </w:tcPr>
          <w:p w:rsidRPr="0033560C" w:rsidR="00E255C3" w:rsidP="00341CA9" w:rsidRDefault="00E255C3" w14:paraId="3AEB9BFC" w14:textId="77777777">
            <w:pPr>
              <w:cnfStyle w:val="000000000000" w:firstRow="0" w:lastRow="0" w:firstColumn="0" w:lastColumn="0" w:oddVBand="0" w:evenVBand="0" w:oddHBand="0" w:evenHBand="0" w:firstRowFirstColumn="0" w:firstRowLastColumn="0" w:lastRowFirstColumn="0" w:lastRowLastColumn="0"/>
            </w:pPr>
            <w:r w:rsidRPr="0033560C">
              <w:t xml:space="preserve">At least </w:t>
            </w:r>
            <w:r w:rsidRPr="0033560C">
              <w:rPr>
                <w:u w:val="single"/>
              </w:rPr>
              <w:t>one (1) EVSE Space</w:t>
            </w:r>
            <w:r w:rsidRPr="0033560C">
              <w:t xml:space="preserve"> per household</w:t>
            </w:r>
          </w:p>
        </w:tc>
        <w:tc>
          <w:tcPr>
            <w:tcW w:w="0" w:type="dxa"/>
            <w:tcBorders>
              <w:top w:val="single" w:color="auto" w:sz="4" w:space="0"/>
            </w:tcBorders>
          </w:tcPr>
          <w:p w:rsidRPr="0033560C" w:rsidR="00E255C3" w:rsidP="00341CA9" w:rsidRDefault="00E255C3" w14:paraId="7BCBE3C4" w14:textId="77777777">
            <w:pPr>
              <w:cnfStyle w:val="000000000000" w:firstRow="0" w:lastRow="0" w:firstColumn="0" w:lastColumn="0" w:oddVBand="0" w:evenVBand="0" w:oddHBand="0" w:evenHBand="0" w:firstRowFirstColumn="0" w:firstRowLastColumn="0" w:lastRowFirstColumn="0" w:lastRowLastColumn="0"/>
            </w:pPr>
            <w:r w:rsidRPr="0033560C">
              <w:t xml:space="preserve">Base Plus Recommendation, and at least </w:t>
            </w:r>
            <w:r w:rsidRPr="0033560C">
              <w:rPr>
                <w:u w:val="single"/>
              </w:rPr>
              <w:t>one (1) additional EV Capable Space</w:t>
            </w:r>
            <w:r w:rsidRPr="0033560C">
              <w:t xml:space="preserve"> per household</w:t>
            </w:r>
          </w:p>
        </w:tc>
      </w:tr>
      <w:tr w:rsidRPr="00341CA9" w:rsidR="00E255C3" w:rsidTr="00AF703F" w14:paraId="628B1385" w14:textId="77777777">
        <w:trPr>
          <w:trHeight w:val="1160"/>
        </w:trPr>
        <w:tc>
          <w:tcPr>
            <w:cnfStyle w:val="001000000000" w:firstRow="0" w:lastRow="0" w:firstColumn="1" w:lastColumn="0" w:oddVBand="0" w:evenVBand="0" w:oddHBand="0" w:evenHBand="0" w:firstRowFirstColumn="0" w:firstRowLastColumn="0" w:lastRowFirstColumn="0" w:lastRowLastColumn="0"/>
            <w:tcW w:w="0" w:type="dxa"/>
          </w:tcPr>
          <w:p w:rsidRPr="00AF703F" w:rsidR="00E255C3" w:rsidP="00341CA9" w:rsidRDefault="00E255C3" w14:paraId="59B1AC40" w14:textId="77777777">
            <w:pPr>
              <w:rPr>
                <w:b w:val="0"/>
                <w:bCs w:val="0"/>
                <w:iCs/>
              </w:rPr>
            </w:pPr>
            <w:r w:rsidRPr="00576943">
              <w:t>Multifamily dwellings with less than 20 dwelling units</w:t>
            </w:r>
          </w:p>
        </w:tc>
        <w:tc>
          <w:tcPr>
            <w:tcW w:w="0" w:type="dxa"/>
          </w:tcPr>
          <w:p w:rsidRPr="00167670" w:rsidR="00E255C3" w:rsidP="00341CA9" w:rsidRDefault="00E255C3" w14:paraId="102A0A17" w14:textId="77777777">
            <w:pPr>
              <w:cnfStyle w:val="000000000000" w:firstRow="0" w:lastRow="0" w:firstColumn="0" w:lastColumn="0" w:oddVBand="0" w:evenVBand="0" w:oddHBand="0" w:evenHBand="0" w:firstRowFirstColumn="0" w:firstRowLastColumn="0" w:lastRowFirstColumn="0" w:lastRowLastColumn="0"/>
            </w:pPr>
            <w:r w:rsidRPr="00167670">
              <w:t xml:space="preserve">At least </w:t>
            </w:r>
            <w:r w:rsidRPr="00167670">
              <w:rPr>
                <w:u w:val="single"/>
              </w:rPr>
              <w:t>20%</w:t>
            </w:r>
            <w:r w:rsidRPr="00167670">
              <w:t xml:space="preserve"> of all parking spaces shall be </w:t>
            </w:r>
            <w:r w:rsidRPr="00167670">
              <w:rPr>
                <w:u w:val="single"/>
              </w:rPr>
              <w:t>EV Ready Spaces</w:t>
            </w:r>
          </w:p>
        </w:tc>
        <w:tc>
          <w:tcPr>
            <w:tcW w:w="0" w:type="dxa"/>
          </w:tcPr>
          <w:p w:rsidRPr="00167670" w:rsidR="00E255C3" w:rsidP="00341CA9" w:rsidRDefault="00E255C3" w14:paraId="37D1CAFB" w14:textId="77777777">
            <w:pPr>
              <w:cnfStyle w:val="000000000000" w:firstRow="0" w:lastRow="0" w:firstColumn="0" w:lastColumn="0" w:oddVBand="0" w:evenVBand="0" w:oddHBand="0" w:evenHBand="0" w:firstRowFirstColumn="0" w:firstRowLastColumn="0" w:lastRowFirstColumn="0" w:lastRowLastColumn="0"/>
            </w:pPr>
            <w:r w:rsidRPr="00167670">
              <w:t xml:space="preserve">A minimum of </w:t>
            </w:r>
            <w:r w:rsidRPr="00167670">
              <w:rPr>
                <w:u w:val="single"/>
              </w:rPr>
              <w:t>10% EV Capable Spaces</w:t>
            </w:r>
            <w:r w:rsidRPr="00167670">
              <w:t xml:space="preserve">, </w:t>
            </w:r>
            <w:r w:rsidRPr="00167670">
              <w:rPr>
                <w:u w:val="single"/>
              </w:rPr>
              <w:t>25% Low Power L2 EV Ready Spaces</w:t>
            </w:r>
          </w:p>
        </w:tc>
        <w:tc>
          <w:tcPr>
            <w:tcW w:w="0" w:type="dxa"/>
          </w:tcPr>
          <w:p w:rsidRPr="00DC753C" w:rsidR="00E255C3" w:rsidP="00341CA9" w:rsidRDefault="00E255C3" w14:paraId="0664C29F" w14:textId="77777777">
            <w:pPr>
              <w:cnfStyle w:val="000000000000" w:firstRow="0" w:lastRow="0" w:firstColumn="0" w:lastColumn="0" w:oddVBand="0" w:evenVBand="0" w:oddHBand="0" w:evenHBand="0" w:firstRowFirstColumn="0" w:firstRowLastColumn="0" w:lastRowFirstColumn="0" w:lastRowLastColumn="0"/>
              <w:rPr>
                <w:lang w:val="fr-FR"/>
              </w:rPr>
            </w:pPr>
            <w:r w:rsidRPr="00DC753C">
              <w:rPr>
                <w:lang w:val="fr-FR"/>
              </w:rPr>
              <w:t xml:space="preserve">Base Plus Recommendation, but </w:t>
            </w:r>
            <w:r w:rsidRPr="00DC753C">
              <w:rPr>
                <w:u w:val="single"/>
                <w:lang w:val="fr-FR"/>
              </w:rPr>
              <w:t>15% EV Capable Spaces</w:t>
            </w:r>
          </w:p>
        </w:tc>
      </w:tr>
      <w:tr w:rsidRPr="00341CA9" w:rsidR="00E255C3" w:rsidTr="00AF703F" w14:paraId="4CDFDCE4" w14:textId="77777777">
        <w:tc>
          <w:tcPr>
            <w:cnfStyle w:val="001000000000" w:firstRow="0" w:lastRow="0" w:firstColumn="1" w:lastColumn="0" w:oddVBand="0" w:evenVBand="0" w:oddHBand="0" w:evenHBand="0" w:firstRowFirstColumn="0" w:firstRowLastColumn="0" w:lastRowFirstColumn="0" w:lastRowLastColumn="0"/>
            <w:tcW w:w="0" w:type="dxa"/>
          </w:tcPr>
          <w:p w:rsidRPr="00AF703F" w:rsidR="00E255C3" w:rsidP="00341CA9" w:rsidRDefault="00E255C3" w14:paraId="0C78B348" w14:textId="77777777">
            <w:pPr>
              <w:rPr>
                <w:b w:val="0"/>
                <w:bCs w:val="0"/>
                <w:iCs/>
              </w:rPr>
            </w:pPr>
            <w:r w:rsidRPr="00576943">
              <w:t xml:space="preserve">Multifamily dwellings with greater than 20 dwelling units </w:t>
            </w:r>
          </w:p>
        </w:tc>
        <w:tc>
          <w:tcPr>
            <w:tcW w:w="0" w:type="dxa"/>
          </w:tcPr>
          <w:p w:rsidRPr="0033560C" w:rsidR="00E255C3" w:rsidP="00341CA9" w:rsidRDefault="00E255C3" w14:paraId="0D827C18" w14:textId="77777777">
            <w:pPr>
              <w:cnfStyle w:val="000000000000" w:firstRow="0" w:lastRow="0" w:firstColumn="0" w:lastColumn="0" w:oddVBand="0" w:evenVBand="0" w:oddHBand="0" w:evenHBand="0" w:firstRowFirstColumn="0" w:firstRowLastColumn="0" w:lastRowFirstColumn="0" w:lastRowLastColumn="0"/>
            </w:pPr>
            <w:r w:rsidRPr="0033560C">
              <w:t xml:space="preserve">At least </w:t>
            </w:r>
            <w:r w:rsidRPr="0033560C">
              <w:rPr>
                <w:u w:val="single"/>
              </w:rPr>
              <w:t>20%</w:t>
            </w:r>
            <w:r w:rsidRPr="0033560C">
              <w:t xml:space="preserve"> of all parking spaces shall be </w:t>
            </w:r>
            <w:r w:rsidRPr="0033560C">
              <w:rPr>
                <w:u w:val="single"/>
              </w:rPr>
              <w:t>EV Ready Spaces</w:t>
            </w:r>
          </w:p>
        </w:tc>
        <w:tc>
          <w:tcPr>
            <w:tcW w:w="0" w:type="dxa"/>
          </w:tcPr>
          <w:p w:rsidRPr="0033560C" w:rsidR="00E255C3" w:rsidP="00341CA9" w:rsidRDefault="00E255C3" w14:paraId="61DF5B44" w14:textId="77777777">
            <w:pPr>
              <w:cnfStyle w:val="000000000000" w:firstRow="0" w:lastRow="0" w:firstColumn="0" w:lastColumn="0" w:oddVBand="0" w:evenVBand="0" w:oddHBand="0" w:evenHBand="0" w:firstRowFirstColumn="0" w:firstRowLastColumn="0" w:lastRowFirstColumn="0" w:lastRowLastColumn="0"/>
            </w:pPr>
            <w:r w:rsidRPr="0033560C">
              <w:t xml:space="preserve">A minimum of </w:t>
            </w:r>
            <w:r w:rsidRPr="0033560C">
              <w:rPr>
                <w:u w:val="single"/>
              </w:rPr>
              <w:t>10% EV Capable Spaces</w:t>
            </w:r>
            <w:r w:rsidRPr="0033560C">
              <w:t xml:space="preserve">, and </w:t>
            </w:r>
            <w:r w:rsidRPr="0033560C">
              <w:rPr>
                <w:u w:val="single"/>
              </w:rPr>
              <w:t>25% Low Power L2 EV Ready Spaces</w:t>
            </w:r>
            <w:r w:rsidRPr="0033560C">
              <w:t xml:space="preserve">, and </w:t>
            </w:r>
            <w:r w:rsidRPr="0033560C">
              <w:rPr>
                <w:u w:val="single"/>
              </w:rPr>
              <w:t>5% EVSE Spaces</w:t>
            </w:r>
          </w:p>
        </w:tc>
        <w:tc>
          <w:tcPr>
            <w:tcW w:w="0" w:type="dxa"/>
          </w:tcPr>
          <w:p w:rsidRPr="00DC753C" w:rsidR="00E255C3" w:rsidP="00AD0D91" w:rsidRDefault="00E255C3" w14:paraId="02E2ABA7" w14:textId="5CD47AF9">
            <w:pPr>
              <w:cnfStyle w:val="000000000000" w:firstRow="0" w:lastRow="0" w:firstColumn="0" w:lastColumn="0" w:oddVBand="0" w:evenVBand="0" w:oddHBand="0" w:evenHBand="0" w:firstRowFirstColumn="0" w:firstRowLastColumn="0" w:lastRowFirstColumn="0" w:lastRowLastColumn="0"/>
              <w:rPr>
                <w:lang w:val="fr-FR"/>
              </w:rPr>
            </w:pPr>
            <w:r w:rsidRPr="00DC753C">
              <w:rPr>
                <w:lang w:val="fr-FR"/>
              </w:rPr>
              <w:t>Base Plus</w:t>
            </w:r>
            <w:r w:rsidR="00AD0D91">
              <w:rPr>
                <w:lang w:val="fr-FR"/>
              </w:rPr>
              <w:t xml:space="preserve"> </w:t>
            </w:r>
            <w:r w:rsidRPr="00DC753C">
              <w:rPr>
                <w:lang w:val="fr-FR"/>
              </w:rPr>
              <w:t xml:space="preserve">Recommendation, but </w:t>
            </w:r>
            <w:r w:rsidRPr="00DC753C">
              <w:rPr>
                <w:u w:val="single"/>
                <w:lang w:val="fr-FR"/>
              </w:rPr>
              <w:t>25% EV Capable Spaces</w:t>
            </w:r>
          </w:p>
        </w:tc>
      </w:tr>
    </w:tbl>
    <w:p w:rsidR="00E255C3" w:rsidP="00AC33A2" w:rsidRDefault="00E255C3" w14:paraId="4329EBA6" w14:textId="77777777">
      <w:pPr>
        <w:pStyle w:val="Heading3"/>
      </w:pPr>
      <w:r w:rsidRPr="006A5DB9">
        <w:t>Alterations:</w:t>
      </w:r>
    </w:p>
    <w:p w:rsidR="00E255C3" w:rsidP="00FC7F32" w:rsidRDefault="00E255C3" w14:paraId="3A422176" w14:textId="77777777">
      <w:r w:rsidRPr="006A5DB9">
        <w:t>When new parking facilities are added, or electrical or lighting of existing parking facilities are added or altered and the work requires a building permit, 10% of the total number of parking spaces added or altered shall be EV Capable</w:t>
      </w:r>
      <w:r>
        <w:t>.</w:t>
      </w:r>
    </w:p>
    <w:p w:rsidR="00E255C3" w:rsidP="00AC33A2" w:rsidRDefault="00E255C3" w14:paraId="160A83C3" w14:textId="77777777">
      <w:pPr>
        <w:pStyle w:val="Heading3"/>
      </w:pPr>
      <w:r w:rsidRPr="00AE67C6">
        <w:t>Technical specifications</w:t>
      </w:r>
      <w:r w:rsidRPr="006A5DB9">
        <w:t>:</w:t>
      </w:r>
    </w:p>
    <w:p w:rsidR="00E255C3" w:rsidRDefault="00E255C3" w14:paraId="2C6D85CA" w14:textId="77777777">
      <w:pPr>
        <w:pStyle w:val="ListParagraph"/>
        <w:numPr>
          <w:ilvl w:val="0"/>
          <w:numId w:val="7"/>
        </w:numPr>
        <w:spacing w:before="160" w:line="259" w:lineRule="auto"/>
      </w:pPr>
      <w:r w:rsidRPr="00470E5F">
        <w:t>EV Capable Spaces</w:t>
      </w:r>
      <w:r w:rsidRPr="00170B7C">
        <w:t xml:space="preserve"> shall </w:t>
      </w:r>
      <w:r>
        <w:t>comply with the following:</w:t>
      </w:r>
    </w:p>
    <w:p w:rsidR="00E255C3" w:rsidRDefault="00E255C3" w14:paraId="00B267D6" w14:textId="77777777">
      <w:pPr>
        <w:pStyle w:val="ListParagraph"/>
        <w:numPr>
          <w:ilvl w:val="1"/>
          <w:numId w:val="7"/>
        </w:numPr>
        <w:spacing w:before="160" w:line="259" w:lineRule="auto"/>
        <w:ind w:left="1440"/>
      </w:pPr>
      <w:r>
        <w:t>I</w:t>
      </w:r>
      <w:r w:rsidRPr="00170B7C">
        <w:t xml:space="preserve">nclude space in the utility room for panel(s) of at least one minimum 40-ampere branch circuit to be provided to garages and/or the exterior of the building to accommodate a future dedicated Society of Automotive Engineers (SAE) standard J1772-approved Level 2 EVSE with a J1772 connector or NEMA 14-50, or equivalent, within 5 feet of the ambient centerline for each EV charging parking space. </w:t>
      </w:r>
    </w:p>
    <w:p w:rsidR="00E255C3" w:rsidRDefault="00E255C3" w14:paraId="57461ADD" w14:textId="77777777">
      <w:pPr>
        <w:pStyle w:val="ListParagraph"/>
        <w:numPr>
          <w:ilvl w:val="1"/>
          <w:numId w:val="7"/>
        </w:numPr>
        <w:spacing w:before="160" w:line="259" w:lineRule="auto"/>
        <w:ind w:left="1440"/>
      </w:pPr>
      <w:r w:rsidRPr="00170B7C">
        <w:t xml:space="preserve">A conduit or other unobstructed path to easily run a future wire to the parking spot shall also be provided. </w:t>
      </w:r>
    </w:p>
    <w:p w:rsidR="00E255C3" w:rsidRDefault="00E255C3" w14:paraId="37816AE0" w14:textId="77777777">
      <w:pPr>
        <w:pStyle w:val="ListParagraph"/>
        <w:numPr>
          <w:ilvl w:val="0"/>
          <w:numId w:val="7"/>
        </w:numPr>
        <w:spacing w:before="160" w:line="259" w:lineRule="auto"/>
      </w:pPr>
      <w:r w:rsidRPr="00470E5F">
        <w:t>EV Ready Spaces</w:t>
      </w:r>
      <w:r w:rsidRPr="006A5DB9">
        <w:t xml:space="preserve"> </w:t>
      </w:r>
      <w:r>
        <w:t>shall comply with the following:</w:t>
      </w:r>
    </w:p>
    <w:p w:rsidR="00E255C3" w:rsidRDefault="00E255C3" w14:paraId="7AEDE977" w14:textId="77777777">
      <w:pPr>
        <w:pStyle w:val="ListParagraph"/>
        <w:numPr>
          <w:ilvl w:val="1"/>
          <w:numId w:val="7"/>
        </w:numPr>
        <w:spacing w:before="160" w:line="259" w:lineRule="auto"/>
        <w:ind w:left="1440"/>
      </w:pPr>
      <w:r>
        <w:t>A</w:t>
      </w:r>
      <w:r w:rsidRPr="006A5DB9">
        <w:t>t 1 &amp; 2 family dwellings and townhouses</w:t>
      </w:r>
      <w:r>
        <w:t xml:space="preserve">, </w:t>
      </w:r>
      <w:r w:rsidRPr="006A5DB9">
        <w:t xml:space="preserve">include </w:t>
      </w:r>
      <w:r>
        <w:t>a</w:t>
      </w:r>
      <w:r w:rsidRPr="006A5DB9">
        <w:t xml:space="preserve">t least </w:t>
      </w:r>
      <w:r>
        <w:t xml:space="preserve">one </w:t>
      </w:r>
      <w:r w:rsidRPr="006A5DB9">
        <w:t xml:space="preserve">branch circuit </w:t>
      </w:r>
      <w:r>
        <w:t>with a minimum</w:t>
      </w:r>
      <w:r w:rsidRPr="006A5DB9">
        <w:t xml:space="preserve"> </w:t>
      </w:r>
      <w:r>
        <w:t>capacity of 4</w:t>
      </w:r>
      <w:r w:rsidRPr="006A5DB9">
        <w:t>0-amp</w:t>
      </w:r>
      <w:r>
        <w:t>s</w:t>
      </w:r>
      <w:r w:rsidRPr="006A5DB9">
        <w:t xml:space="preserve"> per dwelling unit to provide for Level </w:t>
      </w:r>
      <w:r>
        <w:t>2 EVSE</w:t>
      </w:r>
      <w:r w:rsidRPr="006A5DB9">
        <w:t xml:space="preserve"> charging. </w:t>
      </w:r>
    </w:p>
    <w:p w:rsidR="00E255C3" w:rsidRDefault="00E255C3" w14:paraId="14226F1F" w14:textId="77777777">
      <w:pPr>
        <w:pStyle w:val="ListParagraph"/>
        <w:numPr>
          <w:ilvl w:val="1"/>
          <w:numId w:val="7"/>
        </w:numPr>
        <w:spacing w:before="160" w:line="259" w:lineRule="auto"/>
        <w:ind w:left="1440"/>
      </w:pPr>
      <w:r w:rsidRPr="00470E5F">
        <w:t>A</w:t>
      </w:r>
      <w:r w:rsidRPr="006A5DB9">
        <w:t>t multi-family dwellings</w:t>
      </w:r>
      <w:r>
        <w:t xml:space="preserve">, install </w:t>
      </w:r>
      <w:r w:rsidRPr="006A5DB9">
        <w:t>a 40-amp</w:t>
      </w:r>
      <w:r>
        <w:t>ere</w:t>
      </w:r>
      <w:r w:rsidRPr="006A5DB9">
        <w:t xml:space="preserve">, 208/240-volt circuit with a minimum capacity of 9.6 kVA. </w:t>
      </w:r>
    </w:p>
    <w:p w:rsidR="00E255C3" w:rsidRDefault="00E255C3" w14:paraId="080DB987" w14:textId="77777777">
      <w:pPr>
        <w:pStyle w:val="ListParagraph"/>
        <w:numPr>
          <w:ilvl w:val="1"/>
          <w:numId w:val="7"/>
        </w:numPr>
        <w:spacing w:before="160" w:line="259" w:lineRule="auto"/>
        <w:ind w:left="1440"/>
      </w:pPr>
      <w:r w:rsidRPr="006A5DB9">
        <w:t xml:space="preserve">The dedicated branch circuit shall be identified as “EV READY” in the service panel or subpanel directory, and the termination location shall be marked as “EV READY”. The circuit shall terminate in a NEMA receptacle or a Society of Automotive Engineers (SAE) Standard SAE J1772 electrical connector for EVSE servicing Electric Vehicles, located within </w:t>
      </w:r>
      <w:r>
        <w:t>5</w:t>
      </w:r>
      <w:r w:rsidRPr="006A5DB9">
        <w:t xml:space="preserve"> feet (1828 mm) of each EV </w:t>
      </w:r>
      <w:r>
        <w:t>R</w:t>
      </w:r>
      <w:r w:rsidRPr="006A5DB9">
        <w:t xml:space="preserve">eady </w:t>
      </w:r>
      <w:r>
        <w:t>S</w:t>
      </w:r>
      <w:r w:rsidRPr="006A5DB9">
        <w:t xml:space="preserve">pace. </w:t>
      </w:r>
    </w:p>
    <w:p w:rsidR="00E255C3" w:rsidRDefault="00E255C3" w14:paraId="11932B8A" w14:textId="77777777">
      <w:pPr>
        <w:pStyle w:val="ListParagraph"/>
        <w:numPr>
          <w:ilvl w:val="1"/>
          <w:numId w:val="7"/>
        </w:numPr>
        <w:spacing w:before="160" w:line="259" w:lineRule="auto"/>
        <w:ind w:left="1440"/>
      </w:pPr>
      <w:r w:rsidRPr="006A5DB9">
        <w:t>Conductors and outlets for EVSE shall be sized and installed in accordance with the MA electrical code.</w:t>
      </w:r>
      <w:r>
        <w:t xml:space="preserve"> </w:t>
      </w:r>
    </w:p>
    <w:p w:rsidR="00E255C3" w:rsidRDefault="00E255C3" w14:paraId="55FA0926" w14:textId="77777777">
      <w:pPr>
        <w:pStyle w:val="ListParagraph"/>
        <w:numPr>
          <w:ilvl w:val="0"/>
          <w:numId w:val="7"/>
        </w:numPr>
        <w:spacing w:before="160" w:line="259" w:lineRule="auto"/>
      </w:pPr>
      <w:r w:rsidRPr="00470E5F">
        <w:t>EVSE Spaces</w:t>
      </w:r>
      <w:r w:rsidRPr="00AE2AC4">
        <w:t xml:space="preserve"> shall </w:t>
      </w:r>
      <w:r>
        <w:t>comply with the following:</w:t>
      </w:r>
    </w:p>
    <w:p w:rsidRPr="00AE2AC4" w:rsidR="00E255C3" w:rsidRDefault="00E255C3" w14:paraId="743DE399" w14:textId="77777777">
      <w:pPr>
        <w:pStyle w:val="ListParagraph"/>
        <w:numPr>
          <w:ilvl w:val="1"/>
          <w:numId w:val="7"/>
        </w:numPr>
        <w:spacing w:before="160" w:line="259" w:lineRule="auto"/>
        <w:ind w:left="1440"/>
      </w:pPr>
      <w:r>
        <w:t xml:space="preserve">Include </w:t>
      </w:r>
      <w:r w:rsidRPr="00AE2AC4">
        <w:t xml:space="preserve">wiring, electrical service, and EVSE sufficient to provide Level 2 </w:t>
      </w:r>
      <w:r>
        <w:t xml:space="preserve">EVSE </w:t>
      </w:r>
      <w:r w:rsidRPr="00AE2AC4">
        <w:t>or equivalent EV charging</w:t>
      </w:r>
      <w:r>
        <w:t xml:space="preserve"> at a minimum power of 7kW</w:t>
      </w:r>
      <w:r w:rsidRPr="00AE2AC4">
        <w:t>, as defined by Standard SAE J1772 for EVSE servicing light duty Electric Vehicles</w:t>
      </w:r>
      <w:r w:rsidRPr="006A5DB9">
        <w:t xml:space="preserve">, located within </w:t>
      </w:r>
      <w:r>
        <w:t>5</w:t>
      </w:r>
      <w:r w:rsidRPr="006A5DB9">
        <w:t xml:space="preserve"> feet (1828 mm) of each EV </w:t>
      </w:r>
      <w:r>
        <w:t>R</w:t>
      </w:r>
      <w:r w:rsidRPr="006A5DB9">
        <w:t xml:space="preserve">eady </w:t>
      </w:r>
      <w:r>
        <w:t>S</w:t>
      </w:r>
      <w:r w:rsidRPr="006A5DB9">
        <w:t>pace</w:t>
      </w:r>
      <w:r w:rsidRPr="00AE2AC4">
        <w:t xml:space="preserve">. </w:t>
      </w:r>
    </w:p>
    <w:p w:rsidRPr="000D41A2" w:rsidR="00E255C3" w:rsidP="00AC33A2" w:rsidRDefault="00E255C3" w14:paraId="05515AE6" w14:textId="77777777">
      <w:pPr>
        <w:pStyle w:val="Heading3"/>
      </w:pPr>
      <w:r w:rsidRPr="000D41A2">
        <w:t>Exceptions</w:t>
      </w:r>
      <w:r>
        <w:t>:</w:t>
      </w:r>
    </w:p>
    <w:p w:rsidRPr="00C56867" w:rsidR="00E255C3" w:rsidP="00C56867" w:rsidRDefault="00E255C3" w14:paraId="1D18D5D7" w14:textId="77777777">
      <w:pPr>
        <w:pStyle w:val="ListParagraph"/>
      </w:pPr>
      <w:r w:rsidRPr="000D41A2">
        <w:t xml:space="preserve">In no </w:t>
      </w:r>
      <w:r w:rsidRPr="00C56867">
        <w:t>case shall the number of required EV Capable, EV Ready, or EVSE Spaces be greater than the number of parking spaces required.</w:t>
      </w:r>
    </w:p>
    <w:p w:rsidRPr="00C56867" w:rsidR="00E255C3" w:rsidP="00C56867" w:rsidRDefault="00E255C3" w14:paraId="5CD059FE" w14:textId="77777777">
      <w:pPr>
        <w:pStyle w:val="ListParagraph"/>
      </w:pPr>
      <w:r w:rsidRPr="00C56867">
        <w:t>Installed EVSE Spaces that exceed the minimum EVSE Space requirements may be used to meet minimum requirements for EV Ready Spaces.</w:t>
      </w:r>
    </w:p>
    <w:p w:rsidRPr="000D41A2" w:rsidR="00E255C3" w:rsidP="00C56867" w:rsidRDefault="00E255C3" w14:paraId="40194AA7" w14:textId="77777777">
      <w:pPr>
        <w:pStyle w:val="ListParagraph"/>
      </w:pPr>
      <w:r w:rsidRPr="00C56867">
        <w:t>Installed EV Ready Spaces that exceed the minimum EV Ready Space requirements may be used to meet</w:t>
      </w:r>
      <w:r>
        <w:t xml:space="preserve"> minimum EV Capable Space requirements. </w:t>
      </w:r>
    </w:p>
    <w:p w:rsidRPr="00C56867" w:rsidR="00E255C3" w:rsidP="00C56867" w:rsidRDefault="00E255C3" w14:paraId="2551B94B" w14:textId="77777777">
      <w:pPr>
        <w:pStyle w:val="ListParagraph"/>
      </w:pPr>
      <w:r w:rsidRPr="00F33054">
        <w:t xml:space="preserve">Multifamily </w:t>
      </w:r>
      <w:r w:rsidRPr="00C56867">
        <w:t>properties may elect to comply with Commercial requirements.</w:t>
      </w:r>
    </w:p>
    <w:p w:rsidRPr="00C56867" w:rsidR="00E255C3" w:rsidP="00C56867" w:rsidRDefault="00E255C3" w14:paraId="4B3E36CE" w14:textId="77777777">
      <w:pPr>
        <w:pStyle w:val="ListParagraph"/>
      </w:pPr>
      <w:r w:rsidRPr="00C56867">
        <w:t>One or more SAE Level 2 EVSE spaces may be substituted with multiple NEMA 5-15 receptacle Level 1 EVSE spaces provided with wiring for a minimum 15-amp, 120 volt EVSE, with a ratio of at least three Level 1 spaces for each Level 2 EVSE space required.</w:t>
      </w:r>
    </w:p>
    <w:p w:rsidRPr="009112D4" w:rsidR="00E255C3" w:rsidP="00C56867" w:rsidRDefault="00E255C3" w14:paraId="2CC95E65" w14:textId="77777777">
      <w:pPr>
        <w:pStyle w:val="ListParagraph"/>
      </w:pPr>
      <w:r w:rsidRPr="00C56867">
        <w:t>On a case-by-case basis, where the local enforcing agency has determined EV charging and infrastructure are not feasible based</w:t>
      </w:r>
      <w:r w:rsidRPr="009112D4">
        <w:t xml:space="preserve"> upon one or more of the following conditions </w:t>
      </w:r>
    </w:p>
    <w:p w:rsidRPr="00C56867" w:rsidR="00E255C3" w:rsidP="00C56867" w:rsidRDefault="00E255C3" w14:paraId="44370F33" w14:textId="77777777">
      <w:pPr>
        <w:pStyle w:val="ListParagraph"/>
        <w:numPr>
          <w:ilvl w:val="1"/>
          <w:numId w:val="1"/>
        </w:numPr>
      </w:pPr>
      <w:r w:rsidRPr="009112D4">
        <w:t>Where there is no local utility power supply, or the local utility is unable to provide adequate power</w:t>
      </w:r>
      <w:r w:rsidRPr="00C56867">
        <w:t>. If a property owner is awaiting utility upgrades to complete required charging infrastructure installations, then the local enforcing agency may allow a certificate of occupancy to be issued with the condition that any EV charging requirements will be met following the completion of utility work.</w:t>
      </w:r>
    </w:p>
    <w:p w:rsidRPr="00C56867" w:rsidR="00E255C3" w:rsidP="00C56867" w:rsidRDefault="00E255C3" w14:paraId="0F4EEE73" w14:textId="77777777">
      <w:pPr>
        <w:pStyle w:val="ListParagraph"/>
        <w:numPr>
          <w:ilvl w:val="1"/>
          <w:numId w:val="1"/>
        </w:numPr>
      </w:pPr>
      <w:r w:rsidRPr="00C56867">
        <w:t xml:space="preserve">Where spaces are separated from the premises by a public right-of-way. </w:t>
      </w:r>
    </w:p>
    <w:p w:rsidRPr="00C56867" w:rsidR="00E255C3" w:rsidP="00C56867" w:rsidRDefault="00E255C3" w14:paraId="621E59DD" w14:textId="77777777">
      <w:pPr>
        <w:pStyle w:val="ListParagraph"/>
        <w:numPr>
          <w:ilvl w:val="1"/>
          <w:numId w:val="1"/>
        </w:numPr>
      </w:pPr>
      <w:r w:rsidRPr="00C56867">
        <w:t>Where there is evidence suitable to the local enforcing agency substantiating that additional unique project design requirements, directly related to the implementation of these requirements, may adversely impact the construction cost of the project.</w:t>
      </w:r>
    </w:p>
    <w:p w:rsidRPr="009112D4" w:rsidR="00E255C3" w:rsidP="00C56867" w:rsidRDefault="00E255C3" w14:paraId="416A53F1" w14:textId="77777777">
      <w:pPr>
        <w:pStyle w:val="ListParagraph"/>
        <w:numPr>
          <w:ilvl w:val="1"/>
          <w:numId w:val="1"/>
        </w:numPr>
      </w:pPr>
      <w:r w:rsidRPr="00C56867">
        <w:t>Accessory Dwelling Units (ADU) and Junior Accessory Dwelling Units (JADU) without additional parking facilities</w:t>
      </w:r>
      <w:r w:rsidRPr="009112D4">
        <w:rPr>
          <w:b/>
          <w:bCs/>
        </w:rPr>
        <w:t>.</w:t>
      </w:r>
    </w:p>
    <w:p w:rsidRPr="00EA1E71" w:rsidR="00E255C3" w:rsidP="00C56867" w:rsidRDefault="00E255C3" w14:paraId="27232A88" w14:textId="77777777">
      <w:pPr>
        <w:pStyle w:val="ListParagraph"/>
      </w:pPr>
      <w:r w:rsidRPr="00EA1E71">
        <w:t>Electric vehicle parking spaces are not required if one of the following conditions apply:</w:t>
      </w:r>
    </w:p>
    <w:p w:rsidRPr="00C56867" w:rsidR="00E255C3" w:rsidP="00C56867" w:rsidRDefault="00E255C3" w14:paraId="0B235F0D" w14:textId="77777777">
      <w:pPr>
        <w:pStyle w:val="ListParagraph"/>
        <w:numPr>
          <w:ilvl w:val="1"/>
          <w:numId w:val="1"/>
        </w:numPr>
      </w:pPr>
      <w:r w:rsidRPr="00C56867">
        <w:t xml:space="preserve">Parking spaces intended exclusively for storage of vehicles for retail sale or vehicle service. </w:t>
      </w:r>
    </w:p>
    <w:p w:rsidRPr="00C56867" w:rsidR="00E255C3" w:rsidP="00C56867" w:rsidRDefault="00E255C3" w14:paraId="67023FAD" w14:textId="77777777">
      <w:pPr>
        <w:pStyle w:val="ListParagraph"/>
        <w:numPr>
          <w:ilvl w:val="1"/>
          <w:numId w:val="1"/>
        </w:numPr>
      </w:pPr>
      <w:r w:rsidRPr="00C56867">
        <w:t xml:space="preserve">Parking spaces are separated from the meter by a public right-of-way </w:t>
      </w:r>
    </w:p>
    <w:p w:rsidRPr="00C56867" w:rsidR="00E255C3" w:rsidP="00C56867" w:rsidRDefault="00E255C3" w14:paraId="5C51B466" w14:textId="77777777">
      <w:pPr>
        <w:pStyle w:val="ListParagraph"/>
        <w:numPr>
          <w:ilvl w:val="1"/>
          <w:numId w:val="1"/>
        </w:numPr>
      </w:pPr>
      <w:r w:rsidRPr="00C56867">
        <w:t xml:space="preserve">Parking spaces which are limited to parking durations of less than one hour. </w:t>
      </w:r>
    </w:p>
    <w:p w:rsidRPr="00EA1E71" w:rsidR="00E255C3" w:rsidP="00C56867" w:rsidRDefault="00E255C3" w14:paraId="4582A41E" w14:textId="77777777">
      <w:pPr>
        <w:pStyle w:val="ListParagraph"/>
        <w:numPr>
          <w:ilvl w:val="1"/>
          <w:numId w:val="1"/>
        </w:numPr>
      </w:pPr>
      <w:r w:rsidRPr="00C56867">
        <w:t>EV Capable</w:t>
      </w:r>
      <w:r w:rsidRPr="00EA1E71">
        <w:t xml:space="preserve"> Spaces are not required where no parking spaces are provided.</w:t>
      </w:r>
    </w:p>
    <w:p w:rsidRPr="0033560C" w:rsidR="00E255C3" w:rsidP="00FC7F32" w:rsidRDefault="00E255C3" w14:paraId="3FDEDE6D" w14:textId="77777777">
      <w:pPr>
        <w:pStyle w:val="Style1"/>
      </w:pPr>
      <w:r w:rsidRPr="0033560C">
        <w:t>Suggested By-Law Requirements for Commercial buildings</w:t>
      </w:r>
    </w:p>
    <w:p w:rsidRPr="00341CA9" w:rsidR="00E255C3" w:rsidP="009C6E95" w:rsidRDefault="00E255C3" w14:paraId="6407D908" w14:textId="77777777">
      <w:pPr>
        <w:spacing w:before="360"/>
        <w:rPr>
          <w:rStyle w:val="Deliverables"/>
        </w:rPr>
      </w:pPr>
      <w:r w:rsidRPr="00341CA9">
        <w:rPr>
          <w:rStyle w:val="Deliverables"/>
        </w:rPr>
        <w:t xml:space="preserve">Recommended Language: </w:t>
      </w:r>
    </w:p>
    <w:p w:rsidRPr="00266932" w:rsidR="00E255C3" w:rsidP="0093312E" w:rsidRDefault="00E255C3" w14:paraId="1C1DF527" w14:textId="77777777">
      <w:r w:rsidRPr="00266932">
        <w:t xml:space="preserve">To meet anticipated demand for EV charging stations as the technology becomes more widespread, installed parking spaces should meet the requirements outlined in </w:t>
      </w:r>
      <w:r>
        <w:t>Table 2 below</w:t>
      </w:r>
      <w:r w:rsidRPr="00266932">
        <w:t>. Calculations for spaces shall be rounded up to the nearest whole number but will always be a value of at least one EV charging port to be available at the time of development occupancy.</w:t>
      </w:r>
    </w:p>
    <w:p w:rsidR="00E255C3" w:rsidP="009C6E95" w:rsidRDefault="00E255C3" w14:paraId="32B2F086" w14:textId="69507D22">
      <w:pPr>
        <w:spacing w:line="240" w:lineRule="auto"/>
        <w:ind w:left="360"/>
        <w:rPr>
          <w:i/>
          <w:iCs/>
          <w:color w:val="7030A0"/>
        </w:rPr>
      </w:pPr>
      <w:r w:rsidRPr="0033560C">
        <w:rPr>
          <w:i/>
          <w:iCs/>
          <w:u w:val="single"/>
        </w:rPr>
        <w:t>Per Massachusetts’ Commercial Stretch code and Specialized Opt-in code</w:t>
      </w:r>
      <w:r>
        <w:t>,</w:t>
      </w:r>
      <w:r>
        <w:rPr>
          <w:rStyle w:val="FootnoteReference"/>
        </w:rPr>
        <w:footnoteReference w:id="7"/>
      </w:r>
      <w:r>
        <w:t xml:space="preserve"> </w:t>
      </w:r>
      <w:r w:rsidRPr="00D2772E">
        <w:t>EV charging can be met with either dedicated electric branch circuits, or with an automatic load management service (ALMS) that allows multiple spaces to be served by a higher amperage circuit, thus improving overall charging capacity at a lower installed cost.</w:t>
      </w:r>
      <w:r>
        <w:t xml:space="preserve"> </w:t>
      </w:r>
      <w:r w:rsidRPr="00012DF3">
        <w:rPr>
          <w:color w:val="FF0000"/>
        </w:rPr>
        <w:tab/>
      </w:r>
    </w:p>
    <w:p w:rsidRPr="009C6E95" w:rsidR="009C6E95" w:rsidP="009C6E95" w:rsidRDefault="009C6E95" w14:paraId="4FDD733E" w14:textId="77777777">
      <w:pPr>
        <w:spacing w:line="240" w:lineRule="auto"/>
        <w:ind w:left="360"/>
        <w:rPr>
          <w:i/>
          <w:iCs/>
          <w:color w:val="7030A0"/>
        </w:rPr>
      </w:pPr>
    </w:p>
    <w:p w:rsidRPr="0033560C" w:rsidR="00E255C3" w:rsidP="00E255C3" w:rsidRDefault="00E255C3" w14:paraId="15C200DA" w14:textId="77777777">
      <w:pPr>
        <w:pStyle w:val="Caption"/>
        <w:rPr>
          <w:rFonts w:hint="eastAsia"/>
        </w:rPr>
      </w:pPr>
      <w:r w:rsidRPr="0033560C">
        <w:t xml:space="preserve">Table </w:t>
      </w:r>
      <w:r>
        <w:fldChar w:fldCharType="begin"/>
      </w:r>
      <w:r>
        <w:instrText>SEQ Table \* ARABIC</w:instrText>
      </w:r>
      <w:r>
        <w:fldChar w:fldCharType="separate"/>
      </w:r>
      <w:r w:rsidRPr="0033560C">
        <w:rPr>
          <w:noProof/>
        </w:rPr>
        <w:t>2</w:t>
      </w:r>
      <w:r>
        <w:fldChar w:fldCharType="end"/>
      </w:r>
      <w:r w:rsidRPr="0033560C">
        <w:rPr>
          <w:noProof/>
        </w:rPr>
        <w:t xml:space="preserve">: </w:t>
      </w:r>
      <w:r w:rsidRPr="00E255C3">
        <w:t>Recommended</w:t>
      </w:r>
      <w:r w:rsidRPr="0033560C">
        <w:rPr>
          <w:noProof/>
        </w:rPr>
        <w:t xml:space="preserve"> requirements for commercial buildings</w:t>
      </w:r>
    </w:p>
    <w:tbl>
      <w:tblPr>
        <w:tblStyle w:val="TableGrid"/>
        <w:tblW w:w="8995" w:type="dxa"/>
        <w:tblInd w:w="355" w:type="dxa"/>
        <w:tblLook w:val="04A0" w:firstRow="1" w:lastRow="0" w:firstColumn="1" w:lastColumn="0" w:noHBand="0" w:noVBand="1"/>
      </w:tblPr>
      <w:tblGrid>
        <w:gridCol w:w="2248"/>
        <w:gridCol w:w="2249"/>
        <w:gridCol w:w="2249"/>
        <w:gridCol w:w="2249"/>
      </w:tblGrid>
      <w:tr w:rsidRPr="00085035" w:rsidR="00E255C3" w:rsidTr="003478D5" w14:paraId="7793D611" w14:textId="77777777">
        <w:tc>
          <w:tcPr>
            <w:tcW w:w="2248" w:type="dxa"/>
            <w:tcBorders>
              <w:right w:val="double" w:color="auto" w:sz="4" w:space="0"/>
            </w:tcBorders>
            <w:shd w:val="clear" w:color="auto" w:fill="D9D9D9" w:themeFill="background1" w:themeFillShade="D9"/>
            <w:vAlign w:val="center"/>
          </w:tcPr>
          <w:p w:rsidRPr="00085035" w:rsidR="00E255C3" w:rsidP="003F220A" w:rsidRDefault="00E255C3" w14:paraId="4EA75933" w14:textId="77777777">
            <w:pPr>
              <w:pStyle w:val="TOC1"/>
            </w:pPr>
            <w:r w:rsidRPr="00085035">
              <w:t>Occupancy Classification</w:t>
            </w:r>
            <w:r w:rsidRPr="00085035">
              <w:rPr>
                <w:rStyle w:val="FootnoteReference"/>
                <w:i/>
                <w:sz w:val="24"/>
                <w:szCs w:val="24"/>
              </w:rPr>
              <w:footnoteReference w:id="8"/>
            </w:r>
            <w:r w:rsidRPr="00085035">
              <w:t xml:space="preserve"> / Building Type</w:t>
            </w:r>
          </w:p>
        </w:tc>
        <w:tc>
          <w:tcPr>
            <w:tcW w:w="2249" w:type="dxa"/>
            <w:tcBorders>
              <w:left w:val="double" w:color="auto" w:sz="4" w:space="0"/>
            </w:tcBorders>
            <w:shd w:val="clear" w:color="auto" w:fill="D9D9D9" w:themeFill="background1" w:themeFillShade="D9"/>
            <w:vAlign w:val="center"/>
          </w:tcPr>
          <w:p w:rsidRPr="00085035" w:rsidR="00E255C3" w:rsidP="003F220A" w:rsidRDefault="00E255C3" w14:paraId="3462ABE7" w14:textId="4AD7DD3B">
            <w:pPr>
              <w:pStyle w:val="TOC1"/>
            </w:pPr>
            <w:r w:rsidRPr="00085035">
              <w:t>Base Recommendation</w:t>
            </w:r>
          </w:p>
        </w:tc>
        <w:tc>
          <w:tcPr>
            <w:tcW w:w="2249" w:type="dxa"/>
            <w:shd w:val="clear" w:color="auto" w:fill="D9D9D9" w:themeFill="background1" w:themeFillShade="D9"/>
            <w:vAlign w:val="center"/>
          </w:tcPr>
          <w:p w:rsidRPr="00085035" w:rsidR="00E255C3" w:rsidP="003F220A" w:rsidRDefault="00E255C3" w14:paraId="48699628" w14:textId="77777777">
            <w:pPr>
              <w:pStyle w:val="TOC1"/>
            </w:pPr>
            <w:r w:rsidRPr="00085035">
              <w:t>Base Plus Recommendation</w:t>
            </w:r>
          </w:p>
        </w:tc>
        <w:tc>
          <w:tcPr>
            <w:tcW w:w="2249" w:type="dxa"/>
            <w:shd w:val="clear" w:color="auto" w:fill="D9D9D9" w:themeFill="background1" w:themeFillShade="D9"/>
            <w:vAlign w:val="center"/>
          </w:tcPr>
          <w:p w:rsidRPr="00085035" w:rsidR="00E255C3" w:rsidP="003F220A" w:rsidRDefault="00E255C3" w14:paraId="15B26330" w14:textId="77777777">
            <w:pPr>
              <w:pStyle w:val="TOC1"/>
            </w:pPr>
            <w:r w:rsidRPr="00085035">
              <w:t>Reach Recommendation</w:t>
            </w:r>
          </w:p>
        </w:tc>
      </w:tr>
      <w:tr w:rsidRPr="00085035" w:rsidR="00E255C3" w:rsidTr="003478D5" w14:paraId="25C3D025" w14:textId="77777777">
        <w:tc>
          <w:tcPr>
            <w:tcW w:w="2248" w:type="dxa"/>
            <w:tcBorders>
              <w:right w:val="double" w:color="auto" w:sz="4" w:space="0"/>
            </w:tcBorders>
            <w:vAlign w:val="center"/>
          </w:tcPr>
          <w:p w:rsidRPr="00AF703F" w:rsidR="00E255C3" w:rsidP="003F220A" w:rsidRDefault="00E255C3" w14:paraId="7D883BC3" w14:textId="77777777">
            <w:pPr>
              <w:pStyle w:val="TOC1"/>
              <w:rPr>
                <w:b w:val="0"/>
                <w:bCs w:val="0"/>
              </w:rPr>
            </w:pPr>
            <w:r w:rsidRPr="00AF703F">
              <w:rPr>
                <w:b w:val="0"/>
                <w:bCs w:val="0"/>
              </w:rPr>
              <w:t xml:space="preserve">Hotels and motels (transient) with less than 20 sleeping units or guest rooms </w:t>
            </w:r>
          </w:p>
        </w:tc>
        <w:tc>
          <w:tcPr>
            <w:tcW w:w="2249" w:type="dxa"/>
            <w:tcBorders>
              <w:left w:val="double" w:color="auto" w:sz="4" w:space="0"/>
            </w:tcBorders>
            <w:vAlign w:val="center"/>
          </w:tcPr>
          <w:p w:rsidRPr="00AF703F" w:rsidR="00E255C3" w:rsidP="003F220A" w:rsidRDefault="00E255C3" w14:paraId="6E69B620" w14:textId="77777777">
            <w:pPr>
              <w:pStyle w:val="TOC1"/>
              <w:rPr>
                <w:b w:val="0"/>
                <w:bCs w:val="0"/>
              </w:rPr>
            </w:pPr>
            <w:r w:rsidRPr="00AF703F">
              <w:rPr>
                <w:b w:val="0"/>
                <w:bCs w:val="0"/>
              </w:rPr>
              <w:t xml:space="preserve">A minimum of </w:t>
            </w:r>
            <w:r w:rsidRPr="00AF703F">
              <w:rPr>
                <w:b w:val="0"/>
                <w:bCs w:val="0"/>
                <w:u w:val="single"/>
              </w:rPr>
              <w:t>20%</w:t>
            </w:r>
            <w:r w:rsidRPr="00AF703F">
              <w:rPr>
                <w:b w:val="0"/>
                <w:bCs w:val="0"/>
              </w:rPr>
              <w:t xml:space="preserve"> of parking spaces shall be </w:t>
            </w:r>
            <w:r w:rsidRPr="00AF703F">
              <w:rPr>
                <w:b w:val="0"/>
                <w:bCs w:val="0"/>
                <w:u w:val="single"/>
              </w:rPr>
              <w:t>EV Ready Spaces</w:t>
            </w:r>
          </w:p>
        </w:tc>
        <w:tc>
          <w:tcPr>
            <w:tcW w:w="2249" w:type="dxa"/>
            <w:vAlign w:val="center"/>
          </w:tcPr>
          <w:p w:rsidRPr="00AF703F" w:rsidR="00E255C3" w:rsidP="003F220A" w:rsidRDefault="00E255C3" w14:paraId="687CE76D" w14:textId="77777777">
            <w:pPr>
              <w:pStyle w:val="TOC1"/>
              <w:rPr>
                <w:b w:val="0"/>
                <w:bCs w:val="0"/>
              </w:rPr>
            </w:pPr>
            <w:r w:rsidRPr="00AF703F">
              <w:rPr>
                <w:b w:val="0"/>
                <w:bCs w:val="0"/>
              </w:rPr>
              <w:t xml:space="preserve">A minimum of 10% EV Capable Spaces, and 25% EV Ready Spaces </w:t>
            </w:r>
          </w:p>
        </w:tc>
        <w:tc>
          <w:tcPr>
            <w:tcW w:w="2249" w:type="dxa"/>
            <w:vAlign w:val="center"/>
          </w:tcPr>
          <w:p w:rsidRPr="00AF703F" w:rsidR="00E255C3" w:rsidP="003F220A" w:rsidRDefault="00E255C3" w14:paraId="68EB4BB2" w14:textId="25F291E8">
            <w:pPr>
              <w:pStyle w:val="TOC1"/>
              <w:rPr>
                <w:b w:val="0"/>
                <w:bCs w:val="0"/>
              </w:rPr>
            </w:pPr>
            <w:r w:rsidRPr="00E13C0A">
              <w:rPr>
                <w:b w:val="0"/>
                <w:bCs w:val="0"/>
              </w:rPr>
              <w:t>Base Plus</w:t>
            </w:r>
            <w:r w:rsidRPr="00AF703F" w:rsidR="003F220A">
              <w:rPr>
                <w:b w:val="0"/>
                <w:bCs w:val="0"/>
              </w:rPr>
              <w:t xml:space="preserve"> </w:t>
            </w:r>
            <w:r w:rsidRPr="00AF703F">
              <w:rPr>
                <w:b w:val="0"/>
                <w:bCs w:val="0"/>
              </w:rPr>
              <w:t xml:space="preserve">Recommendation, and </w:t>
            </w:r>
            <w:r w:rsidRPr="00AF703F">
              <w:rPr>
                <w:b w:val="0"/>
                <w:bCs w:val="0"/>
                <w:u w:val="single"/>
              </w:rPr>
              <w:t>5% EVSE Spaces</w:t>
            </w:r>
          </w:p>
        </w:tc>
      </w:tr>
      <w:tr w:rsidRPr="00085035" w:rsidR="00E255C3" w:rsidTr="003478D5" w14:paraId="400BA625" w14:textId="77777777">
        <w:tc>
          <w:tcPr>
            <w:tcW w:w="2248" w:type="dxa"/>
            <w:tcBorders>
              <w:right w:val="double" w:color="auto" w:sz="4" w:space="0"/>
            </w:tcBorders>
            <w:vAlign w:val="center"/>
          </w:tcPr>
          <w:p w:rsidRPr="00AF703F" w:rsidR="00E255C3" w:rsidP="003F220A" w:rsidRDefault="00E255C3" w14:paraId="6414E52B" w14:textId="77777777">
            <w:pPr>
              <w:pStyle w:val="TOC1"/>
              <w:rPr>
                <w:b w:val="0"/>
                <w:bCs w:val="0"/>
              </w:rPr>
            </w:pPr>
            <w:r w:rsidRPr="00AF703F">
              <w:rPr>
                <w:b w:val="0"/>
                <w:bCs w:val="0"/>
              </w:rPr>
              <w:t xml:space="preserve">Hotels and motels (transient) with greater than 20 sleeping units or guest rooms </w:t>
            </w:r>
          </w:p>
        </w:tc>
        <w:tc>
          <w:tcPr>
            <w:tcW w:w="2249" w:type="dxa"/>
            <w:tcBorders>
              <w:left w:val="double" w:color="auto" w:sz="4" w:space="0"/>
            </w:tcBorders>
            <w:vAlign w:val="center"/>
          </w:tcPr>
          <w:p w:rsidRPr="00AF703F" w:rsidR="00E255C3" w:rsidP="003F220A" w:rsidRDefault="00E255C3" w14:paraId="10A898A3" w14:textId="77777777">
            <w:pPr>
              <w:pStyle w:val="TOC1"/>
              <w:rPr>
                <w:b w:val="0"/>
                <w:bCs w:val="0"/>
              </w:rPr>
            </w:pPr>
            <w:r w:rsidRPr="00AF703F">
              <w:rPr>
                <w:b w:val="0"/>
                <w:bCs w:val="0"/>
              </w:rPr>
              <w:t xml:space="preserve">A minimum of </w:t>
            </w:r>
            <w:r w:rsidRPr="00AF703F">
              <w:rPr>
                <w:b w:val="0"/>
                <w:bCs w:val="0"/>
                <w:u w:val="single"/>
              </w:rPr>
              <w:t>20%</w:t>
            </w:r>
            <w:r w:rsidRPr="00AF703F">
              <w:rPr>
                <w:b w:val="0"/>
                <w:bCs w:val="0"/>
              </w:rPr>
              <w:t xml:space="preserve"> of parking spaces shall be </w:t>
            </w:r>
            <w:r w:rsidRPr="00AF703F">
              <w:rPr>
                <w:b w:val="0"/>
                <w:bCs w:val="0"/>
                <w:u w:val="single"/>
              </w:rPr>
              <w:t>EV Ready Spaces</w:t>
            </w:r>
          </w:p>
        </w:tc>
        <w:tc>
          <w:tcPr>
            <w:tcW w:w="2249" w:type="dxa"/>
            <w:vAlign w:val="center"/>
          </w:tcPr>
          <w:p w:rsidRPr="00AF703F" w:rsidR="00E255C3" w:rsidP="003F220A" w:rsidRDefault="00E255C3" w14:paraId="2EF45BEA" w14:textId="77777777">
            <w:pPr>
              <w:pStyle w:val="TOC1"/>
              <w:rPr>
                <w:b w:val="0"/>
                <w:bCs w:val="0"/>
              </w:rPr>
            </w:pPr>
            <w:r w:rsidRPr="00AF703F">
              <w:rPr>
                <w:b w:val="0"/>
                <w:bCs w:val="0"/>
              </w:rPr>
              <w:t>A minimum of 10% EV Capable Spaces, 25% EV Ready Spaces, and 5% EVSE Spaces</w:t>
            </w:r>
          </w:p>
        </w:tc>
        <w:tc>
          <w:tcPr>
            <w:tcW w:w="2249" w:type="dxa"/>
            <w:vAlign w:val="center"/>
          </w:tcPr>
          <w:p w:rsidRPr="00AF703F" w:rsidR="00E255C3" w:rsidP="003F220A" w:rsidRDefault="00E255C3" w14:paraId="6F76EA69" w14:textId="77777777">
            <w:pPr>
              <w:pStyle w:val="TOC1"/>
              <w:rPr>
                <w:b w:val="0"/>
                <w:bCs w:val="0"/>
              </w:rPr>
            </w:pPr>
            <w:r w:rsidRPr="00AF703F">
              <w:rPr>
                <w:b w:val="0"/>
                <w:bCs w:val="0"/>
              </w:rPr>
              <w:t xml:space="preserve">Base Plus Recommendation, but at least </w:t>
            </w:r>
            <w:r w:rsidRPr="00AF703F">
              <w:rPr>
                <w:b w:val="0"/>
                <w:bCs w:val="0"/>
                <w:u w:val="single"/>
              </w:rPr>
              <w:t>50% EV Capable Spaces</w:t>
            </w:r>
            <w:r w:rsidRPr="00AF703F">
              <w:rPr>
                <w:b w:val="0"/>
                <w:bCs w:val="0"/>
              </w:rPr>
              <w:t xml:space="preserve">, and </w:t>
            </w:r>
            <w:r w:rsidRPr="00AF703F">
              <w:rPr>
                <w:b w:val="0"/>
                <w:bCs w:val="0"/>
                <w:u w:val="single"/>
              </w:rPr>
              <w:t>10% EVSE Spaces</w:t>
            </w:r>
          </w:p>
        </w:tc>
      </w:tr>
      <w:tr w:rsidRPr="00085035" w:rsidR="00E255C3" w:rsidTr="003478D5" w14:paraId="687C1E9E" w14:textId="77777777">
        <w:tc>
          <w:tcPr>
            <w:tcW w:w="2248" w:type="dxa"/>
            <w:tcBorders>
              <w:right w:val="double" w:color="auto" w:sz="4" w:space="0"/>
            </w:tcBorders>
            <w:vAlign w:val="center"/>
          </w:tcPr>
          <w:p w:rsidRPr="00AF703F" w:rsidR="00E255C3" w:rsidP="003F220A" w:rsidRDefault="00E255C3" w14:paraId="19F1B7C7" w14:textId="77777777">
            <w:pPr>
              <w:pStyle w:val="TOC1"/>
              <w:rPr>
                <w:b w:val="0"/>
                <w:bCs w:val="0"/>
              </w:rPr>
            </w:pPr>
            <w:r w:rsidRPr="00AF703F">
              <w:rPr>
                <w:b w:val="0"/>
                <w:bCs w:val="0"/>
              </w:rPr>
              <w:t>All other R-use and Group B (Businesses)</w:t>
            </w:r>
          </w:p>
        </w:tc>
        <w:tc>
          <w:tcPr>
            <w:tcW w:w="2249" w:type="dxa"/>
            <w:tcBorders>
              <w:left w:val="double" w:color="auto" w:sz="4" w:space="0"/>
            </w:tcBorders>
            <w:vAlign w:val="center"/>
          </w:tcPr>
          <w:p w:rsidRPr="00AF703F" w:rsidR="00E255C3" w:rsidP="003F220A" w:rsidRDefault="00E255C3" w14:paraId="69241B11" w14:textId="77777777">
            <w:pPr>
              <w:pStyle w:val="TOC1"/>
              <w:rPr>
                <w:b w:val="0"/>
                <w:bCs w:val="0"/>
              </w:rPr>
            </w:pPr>
            <w:r w:rsidRPr="00AF703F">
              <w:rPr>
                <w:b w:val="0"/>
                <w:bCs w:val="0"/>
              </w:rPr>
              <w:t xml:space="preserve">A minimum of </w:t>
            </w:r>
            <w:r w:rsidRPr="00AF703F">
              <w:rPr>
                <w:b w:val="0"/>
                <w:bCs w:val="0"/>
                <w:u w:val="single"/>
              </w:rPr>
              <w:t>20%</w:t>
            </w:r>
            <w:r w:rsidRPr="00AF703F">
              <w:rPr>
                <w:b w:val="0"/>
                <w:bCs w:val="0"/>
              </w:rPr>
              <w:t xml:space="preserve"> of parking spaces shall be </w:t>
            </w:r>
            <w:r w:rsidRPr="00AF703F">
              <w:rPr>
                <w:b w:val="0"/>
                <w:bCs w:val="0"/>
                <w:u w:val="single"/>
              </w:rPr>
              <w:t>EV Ready Spaces</w:t>
            </w:r>
          </w:p>
        </w:tc>
        <w:tc>
          <w:tcPr>
            <w:tcW w:w="2249" w:type="dxa"/>
            <w:vAlign w:val="center"/>
          </w:tcPr>
          <w:p w:rsidRPr="00AF703F" w:rsidR="00E255C3" w:rsidP="003F220A" w:rsidRDefault="00E255C3" w14:paraId="292F49D9" w14:textId="77777777">
            <w:pPr>
              <w:pStyle w:val="TOC1"/>
              <w:rPr>
                <w:b w:val="0"/>
                <w:bCs w:val="0"/>
              </w:rPr>
            </w:pPr>
            <w:r w:rsidRPr="00AF703F">
              <w:rPr>
                <w:b w:val="0"/>
                <w:bCs w:val="0"/>
              </w:rPr>
              <w:t>A minimum of 10% EV Capable Spaces, 25% EV Ready Spaces, and 5% EVSE Spaces</w:t>
            </w:r>
          </w:p>
        </w:tc>
        <w:tc>
          <w:tcPr>
            <w:tcW w:w="2249" w:type="dxa"/>
            <w:vAlign w:val="center"/>
          </w:tcPr>
          <w:p w:rsidRPr="00AF703F" w:rsidR="00E255C3" w:rsidP="003F220A" w:rsidRDefault="00E255C3" w14:paraId="1630C82D" w14:textId="77777777">
            <w:pPr>
              <w:pStyle w:val="TOC1"/>
              <w:rPr>
                <w:b w:val="0"/>
                <w:bCs w:val="0"/>
              </w:rPr>
            </w:pPr>
            <w:r w:rsidRPr="00AF703F">
              <w:rPr>
                <w:b w:val="0"/>
                <w:bCs w:val="0"/>
              </w:rPr>
              <w:t xml:space="preserve">Base Plus Recommendation, but at least </w:t>
            </w:r>
            <w:r w:rsidRPr="00AF703F">
              <w:rPr>
                <w:b w:val="0"/>
                <w:bCs w:val="0"/>
                <w:u w:val="single"/>
              </w:rPr>
              <w:t>50% EV Capable Spaces</w:t>
            </w:r>
          </w:p>
        </w:tc>
      </w:tr>
      <w:tr w:rsidRPr="00085035" w:rsidR="00E255C3" w:rsidTr="003478D5" w14:paraId="7A4EC1D4" w14:textId="77777777">
        <w:tc>
          <w:tcPr>
            <w:tcW w:w="2248" w:type="dxa"/>
            <w:tcBorders>
              <w:right w:val="double" w:color="auto" w:sz="4" w:space="0"/>
            </w:tcBorders>
            <w:vAlign w:val="center"/>
          </w:tcPr>
          <w:p w:rsidRPr="00AF703F" w:rsidR="00E255C3" w:rsidP="003F220A" w:rsidRDefault="00E255C3" w14:paraId="7CAF7D0B" w14:textId="77777777">
            <w:pPr>
              <w:pStyle w:val="TOC1"/>
              <w:rPr>
                <w:b w:val="0"/>
                <w:bCs w:val="0"/>
              </w:rPr>
            </w:pPr>
            <w:r w:rsidRPr="00AF703F">
              <w:rPr>
                <w:b w:val="0"/>
                <w:bCs w:val="0"/>
              </w:rPr>
              <w:t>All other occupancies</w:t>
            </w:r>
          </w:p>
        </w:tc>
        <w:tc>
          <w:tcPr>
            <w:tcW w:w="2249" w:type="dxa"/>
            <w:tcBorders>
              <w:left w:val="double" w:color="auto" w:sz="4" w:space="0"/>
            </w:tcBorders>
            <w:vAlign w:val="center"/>
          </w:tcPr>
          <w:p w:rsidRPr="00AF703F" w:rsidR="00E255C3" w:rsidP="003F220A" w:rsidRDefault="00E255C3" w14:paraId="735D138B" w14:textId="77777777">
            <w:pPr>
              <w:pStyle w:val="TOC1"/>
              <w:rPr>
                <w:b w:val="0"/>
                <w:bCs w:val="0"/>
              </w:rPr>
            </w:pPr>
            <w:r w:rsidRPr="00AF703F">
              <w:rPr>
                <w:b w:val="0"/>
                <w:bCs w:val="0"/>
              </w:rPr>
              <w:t xml:space="preserve">A minimum of </w:t>
            </w:r>
            <w:r w:rsidRPr="00AF703F">
              <w:rPr>
                <w:b w:val="0"/>
                <w:bCs w:val="0"/>
                <w:u w:val="single"/>
              </w:rPr>
              <w:t>10%</w:t>
            </w:r>
            <w:r w:rsidRPr="00AF703F">
              <w:rPr>
                <w:b w:val="0"/>
                <w:bCs w:val="0"/>
              </w:rPr>
              <w:t xml:space="preserve"> of parking spaces shall be </w:t>
            </w:r>
            <w:r w:rsidRPr="00AF703F">
              <w:rPr>
                <w:b w:val="0"/>
                <w:bCs w:val="0"/>
                <w:u w:val="single"/>
              </w:rPr>
              <w:t>EV Ready Spaces</w:t>
            </w:r>
            <w:r w:rsidRPr="00AF703F">
              <w:rPr>
                <w:b w:val="0"/>
                <w:bCs w:val="0"/>
              </w:rPr>
              <w:t xml:space="preserve"> </w:t>
            </w:r>
          </w:p>
        </w:tc>
        <w:tc>
          <w:tcPr>
            <w:tcW w:w="2249" w:type="dxa"/>
            <w:vAlign w:val="center"/>
          </w:tcPr>
          <w:p w:rsidRPr="00AF703F" w:rsidR="00E255C3" w:rsidP="003F220A" w:rsidRDefault="00E255C3" w14:paraId="54C3A1C6" w14:textId="77777777">
            <w:pPr>
              <w:pStyle w:val="TOC1"/>
              <w:rPr>
                <w:b w:val="0"/>
                <w:bCs w:val="0"/>
              </w:rPr>
            </w:pPr>
            <w:r w:rsidRPr="00AF703F">
              <w:rPr>
                <w:b w:val="0"/>
                <w:bCs w:val="0"/>
              </w:rPr>
              <w:t>A minimum of 10% EV Capable Spaces, and 25% EV Ready Spaces</w:t>
            </w:r>
          </w:p>
        </w:tc>
        <w:tc>
          <w:tcPr>
            <w:tcW w:w="2249" w:type="dxa"/>
            <w:vAlign w:val="center"/>
          </w:tcPr>
          <w:p w:rsidRPr="00AF703F" w:rsidR="00E255C3" w:rsidP="003F220A" w:rsidRDefault="00E255C3" w14:paraId="637AD51E" w14:textId="075BEC78">
            <w:pPr>
              <w:pStyle w:val="TOC1"/>
              <w:rPr>
                <w:b w:val="0"/>
                <w:bCs w:val="0"/>
              </w:rPr>
            </w:pPr>
            <w:r w:rsidRPr="00E13C0A">
              <w:rPr>
                <w:b w:val="0"/>
                <w:bCs w:val="0"/>
              </w:rPr>
              <w:t>Base Plus</w:t>
            </w:r>
            <w:r w:rsidRPr="00AF703F" w:rsidR="003F220A">
              <w:rPr>
                <w:b w:val="0"/>
                <w:bCs w:val="0"/>
              </w:rPr>
              <w:t xml:space="preserve"> </w:t>
            </w:r>
            <w:r w:rsidRPr="00AF703F">
              <w:rPr>
                <w:b w:val="0"/>
                <w:bCs w:val="0"/>
              </w:rPr>
              <w:t xml:space="preserve">Recommendation, and </w:t>
            </w:r>
            <w:r w:rsidRPr="00AF703F">
              <w:rPr>
                <w:b w:val="0"/>
                <w:bCs w:val="0"/>
                <w:u w:val="single"/>
              </w:rPr>
              <w:t>5% EVSE Spaces</w:t>
            </w:r>
          </w:p>
        </w:tc>
      </w:tr>
    </w:tbl>
    <w:p w:rsidRPr="00C5056C" w:rsidR="00E255C3" w:rsidP="00AC33A2" w:rsidRDefault="00E255C3" w14:paraId="3A6ECB5E" w14:textId="77777777">
      <w:pPr>
        <w:pStyle w:val="Heading3"/>
      </w:pPr>
      <w:r w:rsidRPr="00C5056C">
        <w:t>Technical Specifications</w:t>
      </w:r>
    </w:p>
    <w:p w:rsidR="00E255C3" w:rsidP="008E1D72" w:rsidRDefault="00E255C3" w14:paraId="477C979C" w14:textId="77777777">
      <w:pPr>
        <w:pStyle w:val="ListParagraph"/>
        <w:ind w:left="720"/>
      </w:pPr>
      <w:r w:rsidRPr="00316572">
        <w:t>EV Capable Spaces shall</w:t>
      </w:r>
      <w:r>
        <w:t xml:space="preserve"> comply with </w:t>
      </w:r>
      <w:r w:rsidRPr="00C56867">
        <w:t>the</w:t>
      </w:r>
      <w:r>
        <w:t xml:space="preserve"> following</w:t>
      </w:r>
      <w:r w:rsidRPr="00316572">
        <w:t>:</w:t>
      </w:r>
    </w:p>
    <w:p w:rsidRPr="00C56867" w:rsidR="00E255C3" w:rsidP="00AF703F" w:rsidRDefault="00E255C3" w14:paraId="11D119EF" w14:textId="77777777">
      <w:pPr>
        <w:pStyle w:val="ListParagraph"/>
        <w:numPr>
          <w:ilvl w:val="1"/>
          <w:numId w:val="14"/>
        </w:numPr>
        <w:ind w:left="1440"/>
      </w:pPr>
      <w:r w:rsidRPr="00775872">
        <w:t xml:space="preserve">A continuous raceway or cable assembly shall be installed between an enclosure or outlet </w:t>
      </w:r>
      <w:r w:rsidRPr="00C56867">
        <w:t xml:space="preserve">located within 3 feet (914 mm) of the EV capable space and a suitable panelboard or other onsite electrical distribution equipment. </w:t>
      </w:r>
    </w:p>
    <w:p w:rsidRPr="00C56867" w:rsidR="00E255C3" w:rsidP="00AF703F" w:rsidRDefault="00E255C3" w14:paraId="1DDCACA2" w14:textId="77777777">
      <w:pPr>
        <w:pStyle w:val="ListParagraph"/>
        <w:numPr>
          <w:ilvl w:val="1"/>
          <w:numId w:val="14"/>
        </w:numPr>
        <w:ind w:left="1440"/>
      </w:pPr>
      <w:r w:rsidRPr="00C56867">
        <w:t xml:space="preserve">The electrical distribution equipment to which the raceway or cable assembly connects shall have sufficient dedicated space and spare electrical capacity for a 2-pole circuit breaker or set of fuses. </w:t>
      </w:r>
    </w:p>
    <w:p w:rsidRPr="00C56867" w:rsidR="00E255C3" w:rsidP="00AF703F" w:rsidRDefault="00E255C3" w14:paraId="35D78F48" w14:textId="77777777">
      <w:pPr>
        <w:pStyle w:val="ListParagraph"/>
        <w:numPr>
          <w:ilvl w:val="1"/>
          <w:numId w:val="14"/>
        </w:numPr>
        <w:ind w:left="1440"/>
      </w:pPr>
      <w:r w:rsidRPr="00C56867">
        <w:t>The electrical enclosure or outlet and the electrical distribution equipment directory shall be marked: "For future electric vehicle supply equipment (EVSE)."</w:t>
      </w:r>
    </w:p>
    <w:p w:rsidRPr="00775872" w:rsidR="00E255C3" w:rsidP="00AF703F" w:rsidRDefault="00E255C3" w14:paraId="29A07B20" w14:textId="77777777">
      <w:pPr>
        <w:pStyle w:val="ListParagraph"/>
        <w:numPr>
          <w:ilvl w:val="1"/>
          <w:numId w:val="14"/>
        </w:numPr>
        <w:ind w:left="1440"/>
        <w:rPr>
          <w:b/>
          <w:bCs/>
        </w:rPr>
      </w:pPr>
      <w:r w:rsidRPr="00C56867">
        <w:t>Reserved capacity shall</w:t>
      </w:r>
      <w:r w:rsidRPr="00775872">
        <w:t xml:space="preserve"> be no less than 4.1 kVA (20A 208/240V) for each EV </w:t>
      </w:r>
      <w:r>
        <w:t>C</w:t>
      </w:r>
      <w:r w:rsidRPr="00775872">
        <w:t xml:space="preserve">apable </w:t>
      </w:r>
      <w:r>
        <w:t>S</w:t>
      </w:r>
      <w:r w:rsidRPr="00775872">
        <w:t>pace.</w:t>
      </w:r>
    </w:p>
    <w:p w:rsidR="00E255C3" w:rsidP="008E1D72" w:rsidRDefault="00E255C3" w14:paraId="0CA0366C" w14:textId="77777777">
      <w:pPr>
        <w:pStyle w:val="ListParagraph"/>
        <w:ind w:left="720"/>
      </w:pPr>
      <w:r w:rsidRPr="00012DF3">
        <w:t xml:space="preserve">EV Ready Spaces shall </w:t>
      </w:r>
      <w:r w:rsidRPr="00C56867">
        <w:t>comply</w:t>
      </w:r>
      <w:r w:rsidRPr="00012DF3">
        <w:t xml:space="preserve"> with the following:</w:t>
      </w:r>
    </w:p>
    <w:p w:rsidRPr="00C56867" w:rsidR="00E255C3" w:rsidP="00AF703F" w:rsidRDefault="00E255C3" w14:paraId="79547EC2" w14:textId="77777777">
      <w:pPr>
        <w:pStyle w:val="ListParagraph"/>
        <w:numPr>
          <w:ilvl w:val="1"/>
          <w:numId w:val="14"/>
        </w:numPr>
        <w:ind w:left="1440"/>
      </w:pPr>
      <w:r w:rsidRPr="00426726">
        <w:t xml:space="preserve">Include </w:t>
      </w:r>
      <w:r w:rsidRPr="00C56867">
        <w:t>a 40-amp dedicated branch circuit or larger branch circuit with ALMS in accordance with Table 3</w:t>
      </w:r>
    </w:p>
    <w:p w:rsidRPr="00C56867" w:rsidR="00E255C3" w:rsidP="00AF703F" w:rsidRDefault="00E255C3" w14:paraId="398FDB27" w14:textId="77777777">
      <w:pPr>
        <w:pStyle w:val="ListParagraph"/>
        <w:numPr>
          <w:ilvl w:val="1"/>
          <w:numId w:val="14"/>
        </w:numPr>
        <w:ind w:left="1440"/>
      </w:pPr>
      <w:r w:rsidRPr="00C56867">
        <w:t xml:space="preserve">Installed wiring suitable for 6.6kW or higher SAE J1772 Level 2 EVSE shall be connected to the service panel and run to within 6 feet (1828mm) of any qualifying parking space. </w:t>
      </w:r>
    </w:p>
    <w:p w:rsidR="00E255C3" w:rsidP="00AF703F" w:rsidRDefault="00E255C3" w14:paraId="5ED7389D" w14:textId="77777777">
      <w:pPr>
        <w:pStyle w:val="ListParagraph"/>
        <w:numPr>
          <w:ilvl w:val="1"/>
          <w:numId w:val="14"/>
        </w:numPr>
        <w:ind w:left="1440"/>
      </w:pPr>
      <w:r w:rsidRPr="00C56867">
        <w:t xml:space="preserve">Conductors </w:t>
      </w:r>
      <w:r w:rsidRPr="00426726">
        <w:t xml:space="preserve">and outlets for EVSE shall be sized and installed in accordance with the MA electrical code. </w:t>
      </w:r>
    </w:p>
    <w:p w:rsidR="00E255C3" w:rsidP="008E1D72" w:rsidRDefault="00E255C3" w14:paraId="01A3C9E3" w14:textId="77777777">
      <w:pPr>
        <w:pStyle w:val="ListParagraph"/>
        <w:ind w:left="720"/>
      </w:pPr>
      <w:r>
        <w:t xml:space="preserve">EVSE Spaces shall </w:t>
      </w:r>
      <w:r w:rsidRPr="00C56867">
        <w:t>comply</w:t>
      </w:r>
      <w:r>
        <w:t xml:space="preserve"> with the following:</w:t>
      </w:r>
    </w:p>
    <w:p w:rsidRPr="00C56867" w:rsidR="00E255C3" w:rsidP="00AF703F" w:rsidRDefault="00E255C3" w14:paraId="0384BDB2" w14:textId="77777777">
      <w:pPr>
        <w:pStyle w:val="ListParagraph"/>
        <w:numPr>
          <w:ilvl w:val="1"/>
          <w:numId w:val="14"/>
        </w:numPr>
        <w:ind w:left="1440"/>
      </w:pPr>
      <w:r w:rsidRPr="0062323F">
        <w:t>Be capable o</w:t>
      </w:r>
      <w:r w:rsidRPr="00C56867">
        <w:t xml:space="preserve">f charging at a minimum rate of 6.2 kVA (or 30A at 208/240V). </w:t>
      </w:r>
    </w:p>
    <w:p w:rsidRPr="00C56867" w:rsidR="00E255C3" w:rsidP="00AF703F" w:rsidRDefault="00E255C3" w14:paraId="166DF9EF" w14:textId="77777777">
      <w:pPr>
        <w:pStyle w:val="ListParagraph"/>
        <w:numPr>
          <w:ilvl w:val="1"/>
          <w:numId w:val="14"/>
        </w:numPr>
        <w:ind w:left="1440"/>
      </w:pPr>
      <w:r w:rsidRPr="00C56867">
        <w:t xml:space="preserve">When serving multiple EVSE Spaces and controlled by an ALMS, be capable of simultaneously charging each EVSE space at a minimum rate of no less than 3.3 kVA. </w:t>
      </w:r>
    </w:p>
    <w:p w:rsidRPr="0062323F" w:rsidR="00E255C3" w:rsidP="00AF703F" w:rsidRDefault="00E255C3" w14:paraId="141A0181" w14:textId="77777777">
      <w:pPr>
        <w:pStyle w:val="ListParagraph"/>
        <w:numPr>
          <w:ilvl w:val="1"/>
          <w:numId w:val="14"/>
        </w:numPr>
        <w:ind w:left="1440"/>
      </w:pPr>
      <w:r w:rsidRPr="00C56867">
        <w:t xml:space="preserve">When serving EVSE Spaces allowed to have a minimum circuit capacity of 2.7 kVA and controlled by an energy management system providing load management, be capable of simultaneously </w:t>
      </w:r>
      <w:r w:rsidRPr="0062323F">
        <w:t>charging each ESVE space at a minimum rate of no less than 2.1 kVA.</w:t>
      </w:r>
    </w:p>
    <w:p w:rsidRPr="00105E22" w:rsidR="00E255C3" w:rsidP="00AC33A2" w:rsidRDefault="00E255C3" w14:paraId="44B8647F" w14:textId="77777777">
      <w:pPr>
        <w:pStyle w:val="Heading3"/>
      </w:pPr>
      <w:r w:rsidRPr="00105E22">
        <w:t xml:space="preserve">Automatic Load Management System (ALMS) </w:t>
      </w:r>
    </w:p>
    <w:p w:rsidR="009C6E95" w:rsidP="00AF703F" w:rsidRDefault="00E255C3" w14:paraId="4878ADD1" w14:textId="3B9916D3">
      <w:r>
        <w:t xml:space="preserve">ALMS may be used to control electric vehicle loads for EV Ready or EVSE Spaces with Level 1 EVSE or Level 2 EVSE, subject to the performance requirements in </w:t>
      </w:r>
      <w:r w:rsidRPr="0033560C">
        <w:rPr>
          <w:i/>
          <w:iCs/>
        </w:rPr>
        <w:t>Table 3</w:t>
      </w:r>
      <w:r>
        <w:t xml:space="preserve">, below. The maximum number of parking spaces that may share a single branch circuit varies based on the percentage of all parking spaces to be provided with EVSE. </w:t>
      </w:r>
    </w:p>
    <w:p w:rsidRPr="00E255C3" w:rsidR="00E255C3" w:rsidP="00E255C3" w:rsidRDefault="00E255C3" w14:paraId="63BE31EE" w14:textId="77777777">
      <w:pPr>
        <w:pStyle w:val="Caption"/>
        <w:rPr>
          <w:rFonts w:hint="eastAsia"/>
        </w:rPr>
      </w:pPr>
      <w:r w:rsidRPr="0033560C">
        <w:t xml:space="preserve">Table </w:t>
      </w:r>
      <w:r w:rsidRPr="0033560C">
        <w:fldChar w:fldCharType="begin"/>
      </w:r>
      <w:r>
        <w:instrText xml:space="preserve"> SEQ Table \* ARABIC </w:instrText>
      </w:r>
      <w:r w:rsidRPr="0033560C">
        <w:fldChar w:fldCharType="separate"/>
      </w:r>
      <w:r w:rsidRPr="0033560C">
        <w:t>3</w:t>
      </w:r>
      <w:r w:rsidRPr="0033560C">
        <w:fldChar w:fldCharType="end"/>
      </w:r>
      <w:r>
        <w:t>: ALMS EV Ready Performance Requirements (from MA Stretch)</w:t>
      </w:r>
      <w:r>
        <w:rPr>
          <w:rStyle w:val="FootnoteReference"/>
          <w:b/>
          <w:bCs/>
          <w:sz w:val="22"/>
          <w:szCs w:val="22"/>
        </w:rPr>
        <w:footnoteReference w:id="9"/>
      </w:r>
    </w:p>
    <w:tbl>
      <w:tblPr>
        <w:tblStyle w:val="GridTable1Light"/>
        <w:tblW w:w="0" w:type="auto"/>
        <w:tblInd w:w="355" w:type="dxa"/>
        <w:tblLook w:val="04A0" w:firstRow="1" w:lastRow="0" w:firstColumn="1" w:lastColumn="0" w:noHBand="0" w:noVBand="1"/>
      </w:tblPr>
      <w:tblGrid>
        <w:gridCol w:w="1355"/>
        <w:gridCol w:w="3777"/>
        <w:gridCol w:w="3778"/>
      </w:tblGrid>
      <w:tr w:rsidRPr="009C6E95" w:rsidR="00E255C3" w:rsidTr="00AF703F" w14:paraId="075D61E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D9D9D9" w:themeFill="background1" w:themeFillShade="D9"/>
          </w:tcPr>
          <w:p w:rsidRPr="009C6E95" w:rsidR="00E255C3" w:rsidP="00E255C3" w:rsidRDefault="00E255C3" w14:paraId="128E5FFD" w14:textId="77777777">
            <w:pPr>
              <w:pStyle w:val="Default"/>
              <w:rPr>
                <w:rFonts w:cstheme="minorHAnsi"/>
                <w:sz w:val="20"/>
                <w:szCs w:val="20"/>
              </w:rPr>
            </w:pPr>
            <w:r w:rsidRPr="009C6E95">
              <w:rPr>
                <w:rFonts w:cstheme="minorHAnsi"/>
                <w:sz w:val="20"/>
                <w:szCs w:val="20"/>
              </w:rPr>
              <w:t>Circuit Breaker Amperage</w:t>
            </w:r>
          </w:p>
        </w:tc>
        <w:tc>
          <w:tcPr>
            <w:tcW w:w="0" w:type="dxa"/>
            <w:shd w:val="clear" w:color="auto" w:fill="D9D9D9" w:themeFill="background1" w:themeFillShade="D9"/>
          </w:tcPr>
          <w:p w:rsidRPr="009C6E95" w:rsidR="00E255C3" w:rsidP="00E255C3" w:rsidRDefault="00E255C3" w14:paraId="7B052F4B" w14:textId="77777777">
            <w:pPr>
              <w:pStyle w:val="Defaul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Maximum Parking Spaces that May Share a Branch Circuit with 10%-60% EV Ready spaces</w:t>
            </w:r>
          </w:p>
        </w:tc>
        <w:tc>
          <w:tcPr>
            <w:tcW w:w="0" w:type="dxa"/>
            <w:shd w:val="clear" w:color="auto" w:fill="D9D9D9" w:themeFill="background1" w:themeFillShade="D9"/>
          </w:tcPr>
          <w:p w:rsidRPr="009C6E95" w:rsidR="00E255C3" w:rsidP="00E255C3" w:rsidRDefault="00E255C3" w14:paraId="10F44DE7" w14:textId="77777777">
            <w:pPr>
              <w:pStyle w:val="Default"/>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Maximum Parking Spaces that May Share a Branch Circuit with 61-100% EV Ready spaces</w:t>
            </w:r>
          </w:p>
        </w:tc>
      </w:tr>
      <w:tr w:rsidRPr="009C6E95" w:rsidR="00E255C3" w:rsidTr="003478D5" w14:paraId="44D4D805" w14:textId="77777777">
        <w:tc>
          <w:tcPr>
            <w:cnfStyle w:val="001000000000" w:firstRow="0" w:lastRow="0" w:firstColumn="1" w:lastColumn="0" w:oddVBand="0" w:evenVBand="0" w:oddHBand="0" w:evenHBand="0" w:firstRowFirstColumn="0" w:firstRowLastColumn="0" w:lastRowFirstColumn="0" w:lastRowLastColumn="0"/>
            <w:tcW w:w="1355" w:type="dxa"/>
          </w:tcPr>
          <w:p w:rsidRPr="009C6E95" w:rsidR="00E255C3" w:rsidP="00E255C3" w:rsidRDefault="00E255C3" w14:paraId="24826DC2" w14:textId="77777777">
            <w:pPr>
              <w:pStyle w:val="Default"/>
              <w:rPr>
                <w:rFonts w:cstheme="minorHAnsi"/>
                <w:sz w:val="20"/>
                <w:szCs w:val="20"/>
              </w:rPr>
            </w:pPr>
            <w:r w:rsidRPr="009C6E95">
              <w:rPr>
                <w:rFonts w:cstheme="minorHAnsi"/>
                <w:sz w:val="20"/>
                <w:szCs w:val="20"/>
              </w:rPr>
              <w:t>40A</w:t>
            </w:r>
          </w:p>
        </w:tc>
        <w:tc>
          <w:tcPr>
            <w:tcW w:w="3777" w:type="dxa"/>
          </w:tcPr>
          <w:p w:rsidRPr="009C6E95" w:rsidR="00E255C3" w:rsidP="009C6E95" w:rsidRDefault="00E255C3" w14:paraId="3AB968D8"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1</w:t>
            </w:r>
          </w:p>
        </w:tc>
        <w:tc>
          <w:tcPr>
            <w:tcW w:w="3778" w:type="dxa"/>
          </w:tcPr>
          <w:p w:rsidRPr="009C6E95" w:rsidR="00E255C3" w:rsidP="009C6E95" w:rsidRDefault="00E255C3" w14:paraId="75F7F73D"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2</w:t>
            </w:r>
          </w:p>
        </w:tc>
      </w:tr>
      <w:tr w:rsidRPr="009C6E95" w:rsidR="00E255C3" w:rsidTr="003478D5" w14:paraId="43D6F2AA" w14:textId="77777777">
        <w:tc>
          <w:tcPr>
            <w:cnfStyle w:val="001000000000" w:firstRow="0" w:lastRow="0" w:firstColumn="1" w:lastColumn="0" w:oddVBand="0" w:evenVBand="0" w:oddHBand="0" w:evenHBand="0" w:firstRowFirstColumn="0" w:firstRowLastColumn="0" w:lastRowFirstColumn="0" w:lastRowLastColumn="0"/>
            <w:tcW w:w="1355" w:type="dxa"/>
          </w:tcPr>
          <w:p w:rsidRPr="009C6E95" w:rsidR="00E255C3" w:rsidP="00E255C3" w:rsidRDefault="00E255C3" w14:paraId="34701135" w14:textId="77777777">
            <w:pPr>
              <w:pStyle w:val="Default"/>
              <w:rPr>
                <w:rFonts w:cstheme="minorHAnsi"/>
                <w:sz w:val="20"/>
                <w:szCs w:val="20"/>
              </w:rPr>
            </w:pPr>
            <w:r w:rsidRPr="009C6E95">
              <w:rPr>
                <w:rFonts w:cstheme="minorHAnsi"/>
                <w:sz w:val="20"/>
                <w:szCs w:val="20"/>
              </w:rPr>
              <w:t>50A</w:t>
            </w:r>
          </w:p>
        </w:tc>
        <w:tc>
          <w:tcPr>
            <w:tcW w:w="3777" w:type="dxa"/>
          </w:tcPr>
          <w:p w:rsidRPr="009C6E95" w:rsidR="00E255C3" w:rsidP="009C6E95" w:rsidRDefault="00E255C3" w14:paraId="4A50EC7B"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1</w:t>
            </w:r>
          </w:p>
        </w:tc>
        <w:tc>
          <w:tcPr>
            <w:tcW w:w="3778" w:type="dxa"/>
          </w:tcPr>
          <w:p w:rsidRPr="009C6E95" w:rsidR="00E255C3" w:rsidP="009C6E95" w:rsidRDefault="00E255C3" w14:paraId="1D8CF670"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2</w:t>
            </w:r>
          </w:p>
        </w:tc>
      </w:tr>
      <w:tr w:rsidRPr="009C6E95" w:rsidR="00E255C3" w:rsidTr="003478D5" w14:paraId="36366AA6" w14:textId="77777777">
        <w:tc>
          <w:tcPr>
            <w:cnfStyle w:val="001000000000" w:firstRow="0" w:lastRow="0" w:firstColumn="1" w:lastColumn="0" w:oddVBand="0" w:evenVBand="0" w:oddHBand="0" w:evenHBand="0" w:firstRowFirstColumn="0" w:firstRowLastColumn="0" w:lastRowFirstColumn="0" w:lastRowLastColumn="0"/>
            <w:tcW w:w="1355" w:type="dxa"/>
          </w:tcPr>
          <w:p w:rsidRPr="009C6E95" w:rsidR="00E255C3" w:rsidP="00E255C3" w:rsidRDefault="00E255C3" w14:paraId="282844A4" w14:textId="77777777">
            <w:pPr>
              <w:pStyle w:val="Default"/>
              <w:rPr>
                <w:rFonts w:cstheme="minorHAnsi"/>
                <w:sz w:val="20"/>
                <w:szCs w:val="20"/>
              </w:rPr>
            </w:pPr>
            <w:r w:rsidRPr="009C6E95">
              <w:rPr>
                <w:rFonts w:cstheme="minorHAnsi"/>
                <w:sz w:val="20"/>
                <w:szCs w:val="20"/>
              </w:rPr>
              <w:t>60A</w:t>
            </w:r>
          </w:p>
        </w:tc>
        <w:tc>
          <w:tcPr>
            <w:tcW w:w="3777" w:type="dxa"/>
          </w:tcPr>
          <w:p w:rsidRPr="009C6E95" w:rsidR="00E255C3" w:rsidP="009C6E95" w:rsidRDefault="00E255C3" w14:paraId="2BDE1C19"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2</w:t>
            </w:r>
          </w:p>
        </w:tc>
        <w:tc>
          <w:tcPr>
            <w:tcW w:w="3778" w:type="dxa"/>
          </w:tcPr>
          <w:p w:rsidRPr="009C6E95" w:rsidR="00E255C3" w:rsidP="009C6E95" w:rsidRDefault="00E255C3" w14:paraId="02E8C0BB"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4</w:t>
            </w:r>
          </w:p>
        </w:tc>
      </w:tr>
      <w:tr w:rsidRPr="009C6E95" w:rsidR="00E255C3" w:rsidTr="003478D5" w14:paraId="2BF1ED2A" w14:textId="77777777">
        <w:tc>
          <w:tcPr>
            <w:cnfStyle w:val="001000000000" w:firstRow="0" w:lastRow="0" w:firstColumn="1" w:lastColumn="0" w:oddVBand="0" w:evenVBand="0" w:oddHBand="0" w:evenHBand="0" w:firstRowFirstColumn="0" w:firstRowLastColumn="0" w:lastRowFirstColumn="0" w:lastRowLastColumn="0"/>
            <w:tcW w:w="1355" w:type="dxa"/>
          </w:tcPr>
          <w:p w:rsidRPr="009C6E95" w:rsidR="00E255C3" w:rsidP="00E255C3" w:rsidRDefault="00E255C3" w14:paraId="60A63C4B" w14:textId="77777777">
            <w:pPr>
              <w:pStyle w:val="Default"/>
              <w:rPr>
                <w:rFonts w:cstheme="minorHAnsi"/>
                <w:sz w:val="20"/>
                <w:szCs w:val="20"/>
              </w:rPr>
            </w:pPr>
            <w:r w:rsidRPr="009C6E95">
              <w:rPr>
                <w:rFonts w:cstheme="minorHAnsi"/>
                <w:sz w:val="20"/>
                <w:szCs w:val="20"/>
              </w:rPr>
              <w:t>70A</w:t>
            </w:r>
          </w:p>
        </w:tc>
        <w:tc>
          <w:tcPr>
            <w:tcW w:w="3777" w:type="dxa"/>
          </w:tcPr>
          <w:p w:rsidRPr="009C6E95" w:rsidR="00E255C3" w:rsidP="009C6E95" w:rsidRDefault="00E255C3" w14:paraId="6463FFDB"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3</w:t>
            </w:r>
          </w:p>
        </w:tc>
        <w:tc>
          <w:tcPr>
            <w:tcW w:w="3778" w:type="dxa"/>
          </w:tcPr>
          <w:p w:rsidRPr="009C6E95" w:rsidR="00E255C3" w:rsidP="009C6E95" w:rsidRDefault="00E255C3" w14:paraId="6B5B6300"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6</w:t>
            </w:r>
          </w:p>
        </w:tc>
      </w:tr>
      <w:tr w:rsidRPr="009C6E95" w:rsidR="00E255C3" w:rsidTr="003478D5" w14:paraId="46F0A0E8" w14:textId="77777777">
        <w:tc>
          <w:tcPr>
            <w:cnfStyle w:val="001000000000" w:firstRow="0" w:lastRow="0" w:firstColumn="1" w:lastColumn="0" w:oddVBand="0" w:evenVBand="0" w:oddHBand="0" w:evenHBand="0" w:firstRowFirstColumn="0" w:firstRowLastColumn="0" w:lastRowFirstColumn="0" w:lastRowLastColumn="0"/>
            <w:tcW w:w="1355" w:type="dxa"/>
          </w:tcPr>
          <w:p w:rsidRPr="009C6E95" w:rsidR="00E255C3" w:rsidP="00E255C3" w:rsidRDefault="00E255C3" w14:paraId="7B2428F7" w14:textId="77777777">
            <w:pPr>
              <w:pStyle w:val="Default"/>
              <w:rPr>
                <w:rFonts w:cstheme="minorHAnsi"/>
                <w:sz w:val="20"/>
                <w:szCs w:val="20"/>
              </w:rPr>
            </w:pPr>
            <w:r w:rsidRPr="009C6E95">
              <w:rPr>
                <w:rFonts w:cstheme="minorHAnsi"/>
                <w:sz w:val="20"/>
                <w:szCs w:val="20"/>
              </w:rPr>
              <w:t>80A</w:t>
            </w:r>
          </w:p>
        </w:tc>
        <w:tc>
          <w:tcPr>
            <w:tcW w:w="3777" w:type="dxa"/>
          </w:tcPr>
          <w:p w:rsidRPr="009C6E95" w:rsidR="00E255C3" w:rsidP="009C6E95" w:rsidRDefault="00E255C3" w14:paraId="35447B3A"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4</w:t>
            </w:r>
          </w:p>
        </w:tc>
        <w:tc>
          <w:tcPr>
            <w:tcW w:w="3778" w:type="dxa"/>
          </w:tcPr>
          <w:p w:rsidRPr="009C6E95" w:rsidR="00E255C3" w:rsidP="009C6E95" w:rsidRDefault="00E255C3" w14:paraId="1F381E57"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8</w:t>
            </w:r>
          </w:p>
        </w:tc>
      </w:tr>
      <w:tr w:rsidRPr="009C6E95" w:rsidR="00E255C3" w:rsidTr="003478D5" w14:paraId="014E8025" w14:textId="77777777">
        <w:tc>
          <w:tcPr>
            <w:cnfStyle w:val="001000000000" w:firstRow="0" w:lastRow="0" w:firstColumn="1" w:lastColumn="0" w:oddVBand="0" w:evenVBand="0" w:oddHBand="0" w:evenHBand="0" w:firstRowFirstColumn="0" w:firstRowLastColumn="0" w:lastRowFirstColumn="0" w:lastRowLastColumn="0"/>
            <w:tcW w:w="1355" w:type="dxa"/>
          </w:tcPr>
          <w:p w:rsidRPr="009C6E95" w:rsidR="00E255C3" w:rsidP="00E255C3" w:rsidRDefault="00E255C3" w14:paraId="1859D20E" w14:textId="77777777">
            <w:pPr>
              <w:pStyle w:val="Default"/>
              <w:rPr>
                <w:rFonts w:cstheme="minorHAnsi"/>
                <w:sz w:val="20"/>
                <w:szCs w:val="20"/>
              </w:rPr>
            </w:pPr>
            <w:r w:rsidRPr="009C6E95">
              <w:rPr>
                <w:rFonts w:cstheme="minorHAnsi"/>
                <w:sz w:val="20"/>
                <w:szCs w:val="20"/>
              </w:rPr>
              <w:t>90A</w:t>
            </w:r>
          </w:p>
        </w:tc>
        <w:tc>
          <w:tcPr>
            <w:tcW w:w="3777" w:type="dxa"/>
          </w:tcPr>
          <w:p w:rsidRPr="009C6E95" w:rsidR="00E255C3" w:rsidP="009C6E95" w:rsidRDefault="00E255C3" w14:paraId="48DC1A88"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5</w:t>
            </w:r>
          </w:p>
        </w:tc>
        <w:tc>
          <w:tcPr>
            <w:tcW w:w="3778" w:type="dxa"/>
          </w:tcPr>
          <w:p w:rsidRPr="009C6E95" w:rsidR="00E255C3" w:rsidP="009C6E95" w:rsidRDefault="00E255C3" w14:paraId="3EF2BD21"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9</w:t>
            </w:r>
          </w:p>
        </w:tc>
      </w:tr>
      <w:tr w:rsidRPr="009C6E95" w:rsidR="00E255C3" w:rsidTr="003478D5" w14:paraId="1179D0B6" w14:textId="77777777">
        <w:tc>
          <w:tcPr>
            <w:cnfStyle w:val="001000000000" w:firstRow="0" w:lastRow="0" w:firstColumn="1" w:lastColumn="0" w:oddVBand="0" w:evenVBand="0" w:oddHBand="0" w:evenHBand="0" w:firstRowFirstColumn="0" w:firstRowLastColumn="0" w:lastRowFirstColumn="0" w:lastRowLastColumn="0"/>
            <w:tcW w:w="1355" w:type="dxa"/>
          </w:tcPr>
          <w:p w:rsidRPr="009C6E95" w:rsidR="00E255C3" w:rsidP="00E255C3" w:rsidRDefault="00E255C3" w14:paraId="3B96C729" w14:textId="77777777">
            <w:pPr>
              <w:pStyle w:val="Default"/>
              <w:rPr>
                <w:rFonts w:cstheme="minorHAnsi"/>
                <w:sz w:val="20"/>
                <w:szCs w:val="20"/>
              </w:rPr>
            </w:pPr>
            <w:r w:rsidRPr="009C6E95">
              <w:rPr>
                <w:rFonts w:cstheme="minorHAnsi"/>
                <w:sz w:val="20"/>
                <w:szCs w:val="20"/>
              </w:rPr>
              <w:t>100A</w:t>
            </w:r>
          </w:p>
        </w:tc>
        <w:tc>
          <w:tcPr>
            <w:tcW w:w="3777" w:type="dxa"/>
          </w:tcPr>
          <w:p w:rsidRPr="009C6E95" w:rsidR="00E255C3" w:rsidP="009C6E95" w:rsidRDefault="00E255C3" w14:paraId="226340D2"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6</w:t>
            </w:r>
          </w:p>
        </w:tc>
        <w:tc>
          <w:tcPr>
            <w:tcW w:w="3778" w:type="dxa"/>
          </w:tcPr>
          <w:p w:rsidRPr="009C6E95" w:rsidR="00E255C3" w:rsidP="009C6E95" w:rsidRDefault="00E255C3" w14:paraId="54BA7DD2" w14:textId="77777777">
            <w:pPr>
              <w:pStyle w:val="Default"/>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C6E95">
              <w:rPr>
                <w:rFonts w:cstheme="minorHAnsi"/>
                <w:sz w:val="20"/>
                <w:szCs w:val="20"/>
              </w:rPr>
              <w:t>10</w:t>
            </w:r>
          </w:p>
        </w:tc>
      </w:tr>
    </w:tbl>
    <w:p w:rsidRPr="00C56867" w:rsidR="00E255C3" w:rsidP="00C56867" w:rsidRDefault="00E255C3" w14:paraId="443E4AF4" w14:textId="73FB249D">
      <w:pPr>
        <w:pStyle w:val="Heading3"/>
      </w:pPr>
      <w:r w:rsidRPr="00341CA9">
        <w:t>Identification</w:t>
      </w:r>
    </w:p>
    <w:p w:rsidRPr="00EA6807" w:rsidR="00E255C3" w:rsidP="00E255C3" w:rsidRDefault="00E255C3" w14:paraId="24CE400B" w14:textId="77777777">
      <w:pPr>
        <w:pStyle w:val="Default"/>
      </w:pPr>
      <w:r w:rsidRPr="00EA6807">
        <w:t>Construction documents shall indicate the branch circuit termination point and proposed location of future EVSE. Construction documents shall also provide information on amperage of future EVSE, wiring schematics, Automatic Load Management Systems, and electrical load calculations to verify that the electrical panel service capacity and electrical system, including any on-site distribution transformers, have sufficient capacity to simultaneously charge all EVs at all required EV ready spaces.</w:t>
      </w:r>
    </w:p>
    <w:p w:rsidRPr="00C56867" w:rsidR="00E255C3" w:rsidP="00C56867" w:rsidRDefault="00E255C3" w14:paraId="177BB1D4" w14:textId="77777777">
      <w:pPr>
        <w:pStyle w:val="Heading3"/>
      </w:pPr>
      <w:r w:rsidRPr="000A1293">
        <w:t xml:space="preserve">Exceptions: </w:t>
      </w:r>
    </w:p>
    <w:p w:rsidRPr="000A1293" w:rsidR="00E255C3" w:rsidRDefault="00E255C3" w14:paraId="7F61BE98" w14:textId="77777777">
      <w:pPr>
        <w:pStyle w:val="ListParagraph"/>
      </w:pPr>
      <w:r w:rsidRPr="000A1293">
        <w:t xml:space="preserve">Parking spaces and garage spaces intended exclusively for storage of vehicles for retail sale or vehicle service. </w:t>
      </w:r>
    </w:p>
    <w:p w:rsidRPr="00AC3C36" w:rsidR="00E255C3" w:rsidRDefault="00E255C3" w14:paraId="63D9D057" w14:textId="77777777">
      <w:pPr>
        <w:pStyle w:val="ListParagraph"/>
      </w:pPr>
      <w:r w:rsidRPr="00AC3C36">
        <w:t xml:space="preserve">Parking spaces specifically designated for medium or heavy duty vehicles. </w:t>
      </w:r>
    </w:p>
    <w:p w:rsidR="00E255C3" w:rsidRDefault="00E255C3" w14:paraId="361A9503" w14:textId="77777777">
      <w:pPr>
        <w:pStyle w:val="ListParagraph"/>
      </w:pPr>
      <w:r w:rsidRPr="00AC3C36">
        <w:t>Any parking facility with 4 or more spaces providing installed Direct Current fast charging EVSE with a minimum charging speed of 150 kW to each space</w:t>
      </w:r>
      <w:r>
        <w:t>.</w:t>
      </w:r>
    </w:p>
    <w:p w:rsidRPr="00CD4EB1" w:rsidR="00E255C3" w:rsidRDefault="00E255C3" w14:paraId="34D37426" w14:textId="77777777">
      <w:pPr>
        <w:pStyle w:val="ListParagraph"/>
        <w:numPr>
          <w:ilvl w:val="1"/>
          <w:numId w:val="1"/>
        </w:numPr>
      </w:pPr>
      <w:r>
        <w:t>As explained in the Purpose section of this document, Level 2 chargers are well positioned to</w:t>
      </w:r>
      <w:r w:rsidRPr="00E255C3">
        <w:t xml:space="preserve"> </w:t>
      </w:r>
      <w:r>
        <w:t xml:space="preserve">serve the bulk of </w:t>
      </w:r>
      <w:r w:rsidRPr="00E255C3">
        <w:t>residential</w:t>
      </w:r>
      <w:r>
        <w:t xml:space="preserve"> EV charging needs. However, this exception will provide towns and municipalities with the option to consider DCFC charging infrastructure for applicable commercial sites – especially along travel corridors.  </w:t>
      </w:r>
      <w:r w:rsidRPr="00AC3C36" w:rsidDel="00EF0DBD">
        <w:t xml:space="preserve"> </w:t>
      </w:r>
    </w:p>
    <w:p w:rsidRPr="00624B3B" w:rsidR="00E255C3" w:rsidRDefault="00E255C3" w14:paraId="2F1BAA66" w14:textId="77777777">
      <w:pPr>
        <w:pStyle w:val="ListParagraph"/>
      </w:pPr>
      <w:r w:rsidRPr="0033560C">
        <w:t>One or more SAE Level 2 spaces may be substituted with multiple NEMA 5-15 receptacle Level 1 spaces provided with wiring for a minimum 15 amp, 120 volt EVSE, with a ratio of at least three Level 1 spaces for each Level 2 space required.</w:t>
      </w:r>
    </w:p>
    <w:p w:rsidRPr="00AC3C36" w:rsidR="00E255C3" w:rsidRDefault="00E255C3" w14:paraId="5364E7AA" w14:textId="77777777">
      <w:pPr>
        <w:pStyle w:val="ListParagraph"/>
      </w:pPr>
      <w:r w:rsidRPr="00AC3C36">
        <w:t xml:space="preserve">On a case-by-case basis, where the local enforcing agency has </w:t>
      </w:r>
      <w:r w:rsidRPr="00E255C3">
        <w:t>determined</w:t>
      </w:r>
      <w:r w:rsidRPr="00AC3C36">
        <w:t xml:space="preserve"> compliance with this section is not feasible based upon one or more of the following conditions</w:t>
      </w:r>
    </w:p>
    <w:p w:rsidRPr="00AC3C36" w:rsidR="00E255C3" w:rsidRDefault="00E255C3" w14:paraId="61185214" w14:textId="77777777">
      <w:pPr>
        <w:pStyle w:val="ListParagraph"/>
        <w:numPr>
          <w:ilvl w:val="1"/>
          <w:numId w:val="1"/>
        </w:numPr>
      </w:pPr>
      <w:r w:rsidRPr="00AC3C36">
        <w:t>Where there is no local utility power supply, or the local utility is unable to suppl</w:t>
      </w:r>
      <w:r>
        <w:t>y</w:t>
      </w:r>
      <w:r w:rsidRPr="00AC3C36">
        <w:t xml:space="preserve"> adequate power.</w:t>
      </w:r>
      <w:r>
        <w:t xml:space="preserve"> If a property owner is awaiting utility upgrades to complete required charging infrastructure installations, then the local enforcing agency may allow a certificate of occupancy to be issued with the condition that any EV charging requirements will be met following the completion of utility work.</w:t>
      </w:r>
    </w:p>
    <w:p w:rsidRPr="00AC3C36" w:rsidR="00E255C3" w:rsidRDefault="00E255C3" w14:paraId="7D11A3A0" w14:textId="77777777">
      <w:pPr>
        <w:pStyle w:val="ListParagraph"/>
        <w:numPr>
          <w:ilvl w:val="1"/>
          <w:numId w:val="1"/>
        </w:numPr>
      </w:pPr>
      <w:r w:rsidRPr="00AC3C36">
        <w:t>Where there is evidence suitable to the local enforcing agency substantiating that additional unique project design requirements, directly related to the implementation of these requirements, may adversely impact the construction cost of the project</w:t>
      </w:r>
    </w:p>
    <w:p w:rsidRPr="00E255C3" w:rsidR="00E255C3" w:rsidRDefault="00E255C3" w14:paraId="28BF3394" w14:textId="77777777">
      <w:pPr>
        <w:pStyle w:val="ListParagraph"/>
        <w:numPr>
          <w:ilvl w:val="1"/>
          <w:numId w:val="1"/>
        </w:numPr>
      </w:pPr>
      <w:r w:rsidRPr="00AC3C36">
        <w:t xml:space="preserve">Parking spaces accessible only by automated mechanical car parking systems </w:t>
      </w:r>
    </w:p>
    <w:p w:rsidRPr="005553AE" w:rsidR="00E255C3" w:rsidRDefault="00E255C3" w14:paraId="4A2A7162" w14:textId="77777777">
      <w:pPr>
        <w:pStyle w:val="ListParagraph"/>
        <w:numPr>
          <w:ilvl w:val="1"/>
          <w:numId w:val="1"/>
        </w:numPr>
        <w:rPr>
          <w:i/>
          <w:iCs/>
        </w:rPr>
      </w:pPr>
      <w:r>
        <w:t>Where parking spaces are separated from the meter by a public right-of-way</w:t>
      </w:r>
    </w:p>
    <w:p w:rsidRPr="00C82092" w:rsidR="00E255C3" w:rsidRDefault="00E255C3" w14:paraId="594C946B" w14:textId="77777777">
      <w:pPr>
        <w:pStyle w:val="ListParagraph"/>
        <w:rPr>
          <w:i/>
          <w:iCs/>
          <w:color w:val="FF0000"/>
        </w:rPr>
      </w:pPr>
      <w:r>
        <w:t xml:space="preserve">Parking spaces intended </w:t>
      </w:r>
      <w:r w:rsidRPr="00E255C3">
        <w:t>exclusively</w:t>
      </w:r>
      <w:r>
        <w:t xml:space="preserve"> for storage of vehicles for retail sale or vehicle service. </w:t>
      </w:r>
    </w:p>
    <w:p w:rsidRPr="0033560C" w:rsidR="00E255C3" w:rsidP="00FC7F32" w:rsidRDefault="00E255C3" w14:paraId="69E6A236" w14:textId="77777777">
      <w:pPr>
        <w:pStyle w:val="Style1"/>
      </w:pPr>
      <w:r w:rsidRPr="0033560C">
        <w:t>Accessory and Principal Use</w:t>
      </w:r>
    </w:p>
    <w:p w:rsidR="00E255C3" w:rsidP="00341CA9" w:rsidRDefault="00E255C3" w14:paraId="4FE9ED8C" w14:textId="77777777">
      <w:r>
        <w:t>While specific language and requirements will vary by municipality, the goal of defining EV Charging Stations as Accessory Uses is to streamline the permitting process. In some municipalities, this classification may not require a permit; in others, it will enable permits to be issued administratively.</w:t>
      </w:r>
      <w:r w:rsidRPr="00786E97">
        <w:t xml:space="preserve"> </w:t>
      </w:r>
      <w:r w:rsidRPr="003C52BD">
        <w:t xml:space="preserve">If Accessory Uses require significant review, </w:t>
      </w:r>
      <w:r>
        <w:t xml:space="preserve">municipalities may wish to consider </w:t>
      </w:r>
      <w:r w:rsidRPr="003C52BD">
        <w:t xml:space="preserve">other less restrictive classifications </w:t>
      </w:r>
      <w:r>
        <w:t>which may be available under their local bylaws. For example, EV charging stations could be listed as an exemption in which no review or permit would be needed</w:t>
      </w:r>
      <w:r w:rsidRPr="003C52BD">
        <w:t xml:space="preserve">. </w:t>
      </w:r>
    </w:p>
    <w:p w:rsidRPr="00C936D1" w:rsidR="00E255C3" w:rsidP="00341CA9" w:rsidRDefault="00E255C3" w14:paraId="5C4AFE55" w14:textId="77777777">
      <w:pPr>
        <w:rPr>
          <w:color w:val="FF0000"/>
        </w:rPr>
      </w:pPr>
      <w:r w:rsidRPr="00C936D1">
        <w:rPr>
          <w:bCs/>
        </w:rPr>
        <w:t xml:space="preserve">Residential v. Non-Residential: </w:t>
      </w:r>
      <w:r>
        <w:t>In some cases, Accessory Uses may be addressed in Residential and Non-Residential sections of the Bylaws separately. In these cases, it will be beneficial to explicitly state that EV Charging Stations are allowed Accessory Uses in each section.</w:t>
      </w:r>
    </w:p>
    <w:p w:rsidRPr="00341CA9" w:rsidR="00E255C3" w:rsidP="009C6E95" w:rsidRDefault="00E255C3" w14:paraId="440BE0FD" w14:textId="77777777">
      <w:pPr>
        <w:spacing w:before="360"/>
        <w:rPr>
          <w:rStyle w:val="Deliverables"/>
        </w:rPr>
      </w:pPr>
      <w:r w:rsidRPr="00341CA9">
        <w:rPr>
          <w:rStyle w:val="Deliverables"/>
        </w:rPr>
        <w:t>Recommended Language:</w:t>
      </w:r>
    </w:p>
    <w:p w:rsidRPr="00CD452A" w:rsidR="00E255C3" w:rsidP="00341CA9" w:rsidRDefault="00E255C3" w14:paraId="16C32926" w14:textId="77777777">
      <w:r w:rsidRPr="00CD452A">
        <w:rPr>
          <w:b/>
          <w:bCs/>
        </w:rPr>
        <w:t>Accessory Use Standards</w:t>
      </w:r>
      <w:r w:rsidRPr="00CD452A">
        <w:t xml:space="preserve">: Electric vehicle charging stations are permitted as an accessory residential and non-residential use within an approved parking area or approved fueling station service area in any zoning district and will not be subject to the provisions of this section. </w:t>
      </w:r>
    </w:p>
    <w:p w:rsidRPr="00CD452A" w:rsidR="00E255C3" w:rsidP="00341CA9" w:rsidRDefault="00E255C3" w14:paraId="580E451C" w14:textId="77777777">
      <w:r w:rsidRPr="00CD452A">
        <w:rPr>
          <w:b/>
          <w:bCs/>
        </w:rPr>
        <w:t xml:space="preserve">Accessory Structure Standards: </w:t>
      </w:r>
      <w:r w:rsidRPr="00CD452A">
        <w:t xml:space="preserve">Electric vehicle charging stations and above-ground electric vehicle supply equipment are permitted as an accessory structure in any zoning district subject to the provisions of this section. (Typical accessory structure provisions include footprint maximums, modest setbacks, and height limitations.) </w:t>
      </w:r>
    </w:p>
    <w:p w:rsidRPr="00C936D1" w:rsidR="00E255C3" w:rsidP="00FC7F32" w:rsidRDefault="00E255C3" w14:paraId="367E26C1" w14:textId="77777777">
      <w:pPr>
        <w:pStyle w:val="Style1"/>
      </w:pPr>
      <w:r>
        <w:t xml:space="preserve">Accessibility </w:t>
      </w:r>
      <w:r w:rsidRPr="00C936D1">
        <w:t>Standards</w:t>
      </w:r>
    </w:p>
    <w:p w:rsidRPr="00C56867" w:rsidR="00E255C3" w:rsidP="009C6E95" w:rsidRDefault="00E255C3" w14:paraId="20A17CF4" w14:textId="77777777">
      <w:pPr>
        <w:spacing w:before="360"/>
        <w:rPr>
          <w:rStyle w:val="Deliverables"/>
        </w:rPr>
      </w:pPr>
      <w:r w:rsidRPr="00C56867">
        <w:rPr>
          <w:rStyle w:val="Deliverables"/>
        </w:rPr>
        <w:t>Recommended Language:</w:t>
      </w:r>
    </w:p>
    <w:p w:rsidR="00E255C3" w:rsidP="00341CA9" w:rsidRDefault="00E255C3" w14:paraId="6E435103" w14:textId="77777777">
      <w:r w:rsidRPr="00A83B88">
        <w:t>It is strongly encouraged, but not required under these bylaws, that a minimum of one accessible EV Charging Station be provided. Accessible EV Charging Stations should have a barrier-free route of travel and be in close proximity to the building. It is not necessary to designate the accessible EV Charging Station exclusively for disabled users. Separate from these regulations, the Americans with Disabilities Act (ADA) may require EV Charging Stations to meet accessibility requirements.</w:t>
      </w:r>
      <w:r>
        <w:t xml:space="preserve"> </w:t>
      </w:r>
    </w:p>
    <w:p w:rsidRPr="00A83B88" w:rsidR="00E255C3" w:rsidP="00341CA9" w:rsidRDefault="00E255C3" w14:paraId="2787DF05" w14:textId="77777777">
      <w:pPr>
        <w:rPr>
          <w:iCs/>
        </w:rPr>
      </w:pPr>
      <w:r>
        <w:t>For additional guidance related to accessibility related to EV charging, please see the US Access Board source, in the Resources section of this document. This technical resource provides guidance which includes EV charging stations that must be accessible and requirements that apply to EV charging stations.</w:t>
      </w:r>
    </w:p>
    <w:p w:rsidRPr="0058704B" w:rsidR="00E255C3" w:rsidP="00FC7F32" w:rsidRDefault="00E255C3" w14:paraId="22839145" w14:textId="77777777">
      <w:pPr>
        <w:pStyle w:val="Style1"/>
      </w:pPr>
      <w:r w:rsidRPr="0058704B">
        <w:t>Principal Uses and Defined Uses</w:t>
      </w:r>
    </w:p>
    <w:p w:rsidR="00E255C3" w:rsidP="00341CA9" w:rsidRDefault="00E255C3" w14:paraId="2C68BE5D" w14:textId="77777777">
      <w:r>
        <w:t xml:space="preserve">In rare cases, a site that offers electric vehicle charging as its primary purpose would function as a principal fueling station use, or service station. Local definition for a fueling station and any associated performance standards may need to be modified to allow fueling for internal combustion </w:t>
      </w:r>
      <w:r w:rsidRPr="00B5327A">
        <w:rPr>
          <w:i/>
          <w:iCs/>
        </w:rPr>
        <w:t>and</w:t>
      </w:r>
      <w:r>
        <w:t xml:space="preserve"> electric vehicles. As EV markets and technologies progress, fast-charge electric fueling stations may function like today’s typical gas stations, where vehicles re-fuel within minutes at a service area or bay, instead of an approved parking space.</w:t>
      </w:r>
    </w:p>
    <w:p w:rsidRPr="00341CA9" w:rsidR="00E255C3" w:rsidP="009C6E95" w:rsidRDefault="00E255C3" w14:paraId="495BB566" w14:textId="77777777">
      <w:pPr>
        <w:spacing w:before="360"/>
        <w:rPr>
          <w:rStyle w:val="Deliverables"/>
        </w:rPr>
      </w:pPr>
      <w:r w:rsidRPr="00341CA9">
        <w:rPr>
          <w:rStyle w:val="Deliverables"/>
        </w:rPr>
        <w:t>Recommended Language:</w:t>
      </w:r>
    </w:p>
    <w:p w:rsidRPr="00A83B88" w:rsidR="00E255C3" w:rsidP="00341CA9" w:rsidRDefault="00E255C3" w14:paraId="5E4AEC0F" w14:textId="77777777">
      <w:r w:rsidRPr="00A83B88">
        <w:t xml:space="preserve">Fueling station means a specialized establishment for selling gasoline or other </w:t>
      </w:r>
      <w:r>
        <w:t xml:space="preserve">liquid or gaseous </w:t>
      </w:r>
      <w:r w:rsidRPr="00A83B88">
        <w:t xml:space="preserve">vehicle fuels. (Fueling station definitions often allow this use to be combined with a carwash or convenience store use). </w:t>
      </w:r>
    </w:p>
    <w:p w:rsidRPr="00763103" w:rsidR="00E255C3" w:rsidP="00FC7F32" w:rsidRDefault="00E255C3" w14:paraId="7B4EEBC3" w14:textId="77777777">
      <w:pPr>
        <w:pStyle w:val="Style1"/>
      </w:pPr>
      <w:r w:rsidRPr="00763103">
        <w:t>Permitting Processes</w:t>
      </w:r>
    </w:p>
    <w:p w:rsidRPr="00153991" w:rsidR="00E255C3" w:rsidP="00341CA9" w:rsidRDefault="00E255C3" w14:paraId="1DB7A2C2" w14:textId="77777777">
      <w:r>
        <w:t>Regulations that work well for permit applicants and reviewers alike consider the review process in relation to a project’s impacts. Special consideration should be given to the level of review required for different development scenarios to ensure that the developer’s and municipal resources are managed efficiently</w:t>
      </w:r>
    </w:p>
    <w:p w:rsidRPr="009C6E95" w:rsidR="00E255C3" w:rsidP="009C6E95" w:rsidRDefault="00E255C3" w14:paraId="28EBBD53" w14:textId="77777777">
      <w:pPr>
        <w:spacing w:before="360"/>
        <w:rPr>
          <w:rStyle w:val="Deliverables"/>
        </w:rPr>
      </w:pPr>
      <w:r w:rsidRPr="009C6E95">
        <w:rPr>
          <w:rStyle w:val="Deliverables"/>
        </w:rPr>
        <w:t>Recommended Language:</w:t>
      </w:r>
    </w:p>
    <w:p w:rsidR="00E255C3" w:rsidP="00C56867" w:rsidRDefault="00E255C3" w14:paraId="76CAF29D" w14:textId="77777777">
      <w:pPr>
        <w:rPr>
          <w:i/>
          <w:iCs/>
        </w:rPr>
      </w:pPr>
      <w:r w:rsidRPr="00245C4F">
        <w:t xml:space="preserve">Landowners do not need to obtain a zoning permit for: </w:t>
      </w:r>
    </w:p>
    <w:p w:rsidRPr="00C56867" w:rsidR="00E255C3" w:rsidP="00C56867" w:rsidRDefault="00E255C3" w14:paraId="62CA6C97" w14:textId="77777777">
      <w:pPr>
        <w:pStyle w:val="ListParagraph"/>
      </w:pPr>
      <w:r w:rsidRPr="00245C4F">
        <w:t>Interior alterations to an existing structure for electric vehicle charging stations that do not change an</w:t>
      </w:r>
      <w:r w:rsidRPr="00C56867">
        <w:t xml:space="preserve">y of the structure’s exterior dimensions. </w:t>
      </w:r>
    </w:p>
    <w:p w:rsidRPr="00A83B88" w:rsidR="00E255C3" w:rsidP="00C56867" w:rsidRDefault="00E255C3" w14:paraId="0AB4CAEE" w14:textId="77777777">
      <w:pPr>
        <w:pStyle w:val="ListParagraph"/>
        <w:rPr>
          <w:i/>
          <w:iCs/>
        </w:rPr>
      </w:pPr>
      <w:r w:rsidRPr="00C56867">
        <w:t xml:space="preserve">The installation </w:t>
      </w:r>
      <w:r w:rsidRPr="00A83B88">
        <w:t>of Electric Vehicle Charging Stations within a public right-of-way</w:t>
      </w:r>
      <w:r>
        <w:t>, although other permitting processes may apply in this case</w:t>
      </w:r>
      <w:r w:rsidRPr="00A83B88">
        <w:t>.</w:t>
      </w:r>
    </w:p>
    <w:p w:rsidRPr="00763103" w:rsidR="00E255C3" w:rsidP="00FC7F32" w:rsidRDefault="00E255C3" w14:paraId="54D9B96B" w14:textId="77777777">
      <w:pPr>
        <w:pStyle w:val="Style1"/>
      </w:pPr>
      <w:r w:rsidRPr="00763103">
        <w:t>Signage</w:t>
      </w:r>
    </w:p>
    <w:p w:rsidRPr="00AA0A45" w:rsidR="00E255C3" w:rsidP="00341CA9" w:rsidRDefault="00E255C3" w14:paraId="3FAB171C" w14:textId="77777777">
      <w:r w:rsidRPr="00AA0A45">
        <w:t xml:space="preserve">Because EV Charging Stations </w:t>
      </w:r>
      <w:r>
        <w:t>should</w:t>
      </w:r>
      <w:r w:rsidRPr="00AA0A45">
        <w:t xml:space="preserve"> include signage and </w:t>
      </w:r>
      <w:r>
        <w:t xml:space="preserve">may have </w:t>
      </w:r>
      <w:r w:rsidRPr="00AA0A45">
        <w:t xml:space="preserve">pavement markings, </w:t>
      </w:r>
      <w:r>
        <w:t>b</w:t>
      </w:r>
      <w:r w:rsidRPr="00AA0A45">
        <w:t>ylaws</w:t>
      </w:r>
      <w:r>
        <w:t xml:space="preserve"> related to signage</w:t>
      </w:r>
      <w:r w:rsidRPr="00AA0A45">
        <w:t xml:space="preserve"> should also address EV Charging Stations. It should be clarified that EV Charging Station signage be considered and handled in the same manner as small regulation signs (e.g. No Parking). </w:t>
      </w:r>
    </w:p>
    <w:p w:rsidR="00E255C3" w:rsidP="00341CA9" w:rsidRDefault="00E255C3" w14:paraId="21A273D3" w14:textId="77777777">
      <w:r w:rsidRPr="00AA0A45">
        <w:t>In some cases, Signage may be addressed in a separate ordinance. In t</w:t>
      </w:r>
      <w:r w:rsidRPr="00341CA9">
        <w:t>hese cases, language exempting EV Charging Station signage from additional permitting</w:t>
      </w:r>
      <w:r w:rsidRPr="00AA0A45">
        <w:t xml:space="preserve"> requirements should be included in this ordinance.</w:t>
      </w:r>
      <w:r>
        <w:t xml:space="preserve"> </w:t>
      </w:r>
    </w:p>
    <w:p w:rsidR="00E255C3" w:rsidP="00341CA9" w:rsidRDefault="00E255C3" w14:paraId="704239A5" w14:textId="77777777">
      <w:r>
        <w:t>For additional guidance, examples, and options related to EV signage, please see the sources within the Signage category of the Resources section of this document.</w:t>
      </w:r>
    </w:p>
    <w:p w:rsidRPr="00341CA9" w:rsidR="00E255C3" w:rsidP="009C6E95" w:rsidRDefault="00E255C3" w14:paraId="37AA6089" w14:textId="77777777">
      <w:pPr>
        <w:spacing w:before="360"/>
        <w:rPr>
          <w:rStyle w:val="Deliverables"/>
        </w:rPr>
      </w:pPr>
      <w:r w:rsidRPr="00341CA9">
        <w:rPr>
          <w:rStyle w:val="Deliverables"/>
        </w:rPr>
        <w:t>Recommended Language:</w:t>
      </w:r>
    </w:p>
    <w:p w:rsidRPr="00560B0E" w:rsidR="00E255C3" w:rsidP="00C56867" w:rsidRDefault="00E255C3" w14:paraId="1E462956" w14:textId="77777777">
      <w:pPr>
        <w:rPr>
          <w:rFonts w:hint="eastAsia" w:eastAsiaTheme="minorEastAsia"/>
          <w:i/>
          <w:iCs/>
        </w:rPr>
      </w:pPr>
      <w:r w:rsidRPr="00560B0E">
        <w:rPr>
          <w:rFonts w:eastAsiaTheme="minorEastAsia"/>
        </w:rPr>
        <w:t xml:space="preserve">Each </w:t>
      </w:r>
      <w:r>
        <w:rPr>
          <w:rFonts w:eastAsiaTheme="minorEastAsia"/>
        </w:rPr>
        <w:t xml:space="preserve">location offering </w:t>
      </w:r>
      <w:r w:rsidRPr="00560B0E">
        <w:rPr>
          <w:rFonts w:eastAsiaTheme="minorEastAsia"/>
        </w:rPr>
        <w:t>electric vehicle charging station</w:t>
      </w:r>
      <w:r>
        <w:rPr>
          <w:rFonts w:eastAsiaTheme="minorEastAsia"/>
        </w:rPr>
        <w:t>s</w:t>
      </w:r>
      <w:r w:rsidRPr="00560B0E">
        <w:rPr>
          <w:rFonts w:eastAsiaTheme="minorEastAsia"/>
        </w:rPr>
        <w:t xml:space="preserve"> should include general service signage compliant with the Manual on Uniform Traffic Control Devices (MUTCD) identifying spaces designated for EV charging (Figure 1 below), supplemented with restricted parking signage designating charging spaces as no parking “EXCEPT FOR ELECTRIC VEHICLE CHARGING” (Figure 2 below). For purposes of this section, “charging” means an electric vehicle is parked at an electric vehicle charging station and is connected to the electric vehicle supply equipment port. If time limits or vehicle removal provisions are to be enforced, regulatory signage including parking restrictions shall be installed immediately adjacent to, and visible from the electric vehicle charging station. Pavement markings may also be used as an additional feature to guide EV drivers to designated EV charging parking spaces. </w:t>
      </w:r>
    </w:p>
    <w:p w:rsidRPr="003006BE" w:rsidR="00E255C3" w:rsidP="00C56867" w:rsidRDefault="00E255C3" w14:paraId="04AC7940" w14:textId="77777777">
      <w:pPr>
        <w:rPr>
          <w:rFonts w:eastAsia="Yu Mincho"/>
        </w:rPr>
      </w:pPr>
      <w:r w:rsidRPr="74A99F99">
        <w:rPr>
          <w:rFonts w:eastAsia="Yu Mincho"/>
        </w:rPr>
        <w:t>Separate from general service and parking regulatory signage, charging equipment should have contact information on display for users to provide feedback or make a support request.</w:t>
      </w:r>
    </w:p>
    <w:p w:rsidR="00E255C3" w:rsidP="00E255C3" w:rsidRDefault="00E255C3" w14:paraId="67B437C8" w14:textId="77777777">
      <w:pPr>
        <w:ind w:left="720"/>
      </w:pPr>
      <w:r>
        <w:rPr>
          <w:noProof/>
        </w:rPr>
        <w:drawing>
          <wp:inline distT="0" distB="0" distL="0" distR="0" wp14:anchorId="218848A6" wp14:editId="0457D017">
            <wp:extent cx="1270907" cy="1270907"/>
            <wp:effectExtent l="0" t="0" r="0" b="0"/>
            <wp:docPr id="689135172" name="Picture 68913517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135172" name="Picture 689135172" descr="A picture containing text, clipart, vector graphic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0907" cy="1270907"/>
                    </a:xfrm>
                    <a:prstGeom prst="rect">
                      <a:avLst/>
                    </a:prstGeom>
                  </pic:spPr>
                </pic:pic>
              </a:graphicData>
            </a:graphic>
          </wp:inline>
        </w:drawing>
      </w:r>
    </w:p>
    <w:p w:rsidR="00E255C3" w:rsidP="00341CA9" w:rsidRDefault="00E255C3" w14:paraId="07CCE1F4" w14:textId="77777777">
      <w:pPr>
        <w:pStyle w:val="Caption"/>
        <w:rPr>
          <w:rFonts w:hint="eastAsia"/>
        </w:rPr>
      </w:pPr>
      <w:r w:rsidRPr="359C0149">
        <w:t>Figure 1. MUTCD D9-11b EV Charging General Service Signage</w:t>
      </w:r>
    </w:p>
    <w:p w:rsidRPr="003006BE" w:rsidR="00E255C3" w:rsidP="00E255C3" w:rsidRDefault="00E255C3" w14:paraId="5A050F80" w14:textId="77777777">
      <w:pPr>
        <w:ind w:left="720"/>
        <w:rPr>
          <w:rFonts w:ascii="Calibri" w:hAnsi="Calibri" w:eastAsia="Yu Mincho" w:cs="Arial"/>
        </w:rPr>
      </w:pPr>
      <w:r>
        <w:rPr>
          <w:noProof/>
        </w:rPr>
        <w:drawing>
          <wp:inline distT="0" distB="0" distL="0" distR="0" wp14:anchorId="37D6B648" wp14:editId="431BBD46">
            <wp:extent cx="1435553" cy="1435553"/>
            <wp:effectExtent l="0" t="0" r="0" b="0"/>
            <wp:docPr id="1491411551" name="Picture 1491411551" descr="A red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11551" name="Picture 1491411551" descr="A red and white sign&#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435553" cy="1435553"/>
                    </a:xfrm>
                    <a:prstGeom prst="rect">
                      <a:avLst/>
                    </a:prstGeom>
                  </pic:spPr>
                </pic:pic>
              </a:graphicData>
            </a:graphic>
          </wp:inline>
        </w:drawing>
      </w:r>
    </w:p>
    <w:p w:rsidR="00E255C3" w:rsidP="00341CA9" w:rsidRDefault="00E255C3" w14:paraId="0F3094BE" w14:textId="77777777">
      <w:pPr>
        <w:pStyle w:val="Caption"/>
        <w:rPr>
          <w:rFonts w:hint="eastAsia"/>
        </w:rPr>
      </w:pPr>
      <w:r w:rsidRPr="359C0149">
        <w:t>Figure 2. MUTCD R7-2 Parking Restriction Signage Modified for EV Charging</w:t>
      </w:r>
    </w:p>
    <w:p w:rsidRPr="00FA2EB2" w:rsidR="00E255C3" w:rsidP="00341CA9" w:rsidRDefault="00E255C3" w14:paraId="55C6FE6F" w14:textId="77777777">
      <w:r>
        <w:t>The recommended language below should be considered for publicly available EV chargers, where towns and municipalities can consider requirements which discourage non-electric vehicles from parking in EV dedicated parking spaces. These types of requirements may avoid a negative charging experience for EV drivers who plan to charge their vehicle at a particular location, only to find a non-electric vehicle in the parking space. This language may need to be supplemented with corresponding language in related traffic ordinances to establish authority to enforce the penalty. Finally, site owners who host EV charging infrastructure should be encouraged to consider and implement parking management measures to discourage non-electric vehicles from parking in EV-designated parking spaces.</w:t>
      </w:r>
    </w:p>
    <w:p w:rsidRPr="00341CA9" w:rsidR="00E255C3" w:rsidP="009C6E95" w:rsidRDefault="00E255C3" w14:paraId="4E1BD81E" w14:textId="77777777">
      <w:pPr>
        <w:spacing w:before="360"/>
        <w:rPr>
          <w:rStyle w:val="Deliverables"/>
        </w:rPr>
      </w:pPr>
      <w:r w:rsidRPr="009C6E95">
        <w:rPr>
          <w:rStyle w:val="Deliverables"/>
        </w:rPr>
        <w:t>Recommended</w:t>
      </w:r>
      <w:r w:rsidRPr="00341CA9">
        <w:rPr>
          <w:rStyle w:val="Deliverables"/>
        </w:rPr>
        <w:t xml:space="preserve"> Language:</w:t>
      </w:r>
    </w:p>
    <w:p w:rsidRPr="00B7266E" w:rsidR="00E255C3" w:rsidP="00341CA9" w:rsidRDefault="00E255C3" w14:paraId="1D3ED10A" w14:textId="77777777">
      <w:r w:rsidRPr="00B7266E">
        <w:t xml:space="preserve">Unauthorized vehicles not connected for electric charging purposes may be towed away at owner's expense. </w:t>
      </w:r>
    </w:p>
    <w:p w:rsidRPr="0027043B" w:rsidR="00E255C3" w:rsidP="00FC7F32" w:rsidRDefault="00E255C3" w14:paraId="0DE633D1" w14:textId="77777777">
      <w:pPr>
        <w:pStyle w:val="Style1"/>
      </w:pPr>
      <w:r w:rsidRPr="0027043B">
        <w:t>Fee Collection</w:t>
      </w:r>
    </w:p>
    <w:p w:rsidR="00E255C3" w:rsidP="00341CA9" w:rsidRDefault="00E255C3" w14:paraId="535EA1D5" w14:textId="77777777">
      <w:r>
        <w:t>EV Charging Station owners should have the option to charge a fee to users to cover their capital and operating costs and potentially profit from providing this service. The following sample language is recommended to ensure property land use classifications will not change as a result of instituting a fee structure.</w:t>
      </w:r>
    </w:p>
    <w:p w:rsidRPr="009C6E95" w:rsidR="00E255C3" w:rsidP="009C6E95" w:rsidRDefault="00E255C3" w14:paraId="7073381A" w14:textId="77777777">
      <w:pPr>
        <w:adjustRightInd w:val="0"/>
        <w:snapToGrid w:val="0"/>
        <w:spacing w:before="360"/>
        <w:rPr>
          <w:rStyle w:val="Deliverables"/>
        </w:rPr>
      </w:pPr>
      <w:r w:rsidRPr="009C6E95">
        <w:rPr>
          <w:rStyle w:val="Deliverables"/>
        </w:rPr>
        <w:t>Recommended Language:</w:t>
      </w:r>
    </w:p>
    <w:p w:rsidRPr="000F7A66" w:rsidR="00E255C3" w:rsidP="00341CA9" w:rsidRDefault="00E255C3" w14:paraId="0F3C217A" w14:textId="77777777">
      <w:r w:rsidRPr="000F7A66">
        <w:t xml:space="preserve">The property owner is not restricted from collecting a service fee for the use of an electric vehicle charging station made available to residents, employees and visitors to the property. Collection of charging station fees shall not affect the zoning land use classification of properties where EV charging stations are installed as accessory uses. </w:t>
      </w:r>
    </w:p>
    <w:p w:rsidRPr="00FC7F32" w:rsidR="00E255C3" w:rsidP="00C56867" w:rsidRDefault="00E255C3" w14:paraId="10DD0BAE" w14:textId="77777777">
      <w:pPr>
        <w:pStyle w:val="Style1"/>
        <w:ind w:hanging="360"/>
      </w:pPr>
      <w:r w:rsidRPr="00FC7F32">
        <w:t>Performance and Design Standards</w:t>
      </w:r>
    </w:p>
    <w:p w:rsidRPr="0046096D" w:rsidR="00E255C3" w:rsidP="00341CA9" w:rsidRDefault="00E255C3" w14:paraId="0B15DB32" w14:textId="77777777">
      <w:r w:rsidRPr="0046096D">
        <w:t xml:space="preserve">Performance </w:t>
      </w:r>
      <w:r>
        <w:t xml:space="preserve">and design </w:t>
      </w:r>
      <w:r w:rsidRPr="0046096D">
        <w:t xml:space="preserve">standards can communicate what your community values and expects to support the health, safety, and welfare of residents and visitors. Charging stations are designed to be safe and convenient. </w:t>
      </w:r>
    </w:p>
    <w:p w:rsidRPr="009C6E95" w:rsidR="00E255C3" w:rsidP="00341CA9" w:rsidRDefault="00E255C3" w14:paraId="6086BD7E" w14:textId="77777777">
      <w:pPr>
        <w:rPr>
          <w:rStyle w:val="Deliverables"/>
        </w:rPr>
      </w:pPr>
      <w:r w:rsidRPr="00341CA9">
        <w:rPr>
          <w:rStyle w:val="Deliverables"/>
        </w:rPr>
        <w:t>Recommended Language:</w:t>
      </w:r>
    </w:p>
    <w:p w:rsidRPr="009C6E95" w:rsidR="00E255C3" w:rsidP="009C6E95" w:rsidRDefault="00E255C3" w14:paraId="2C206AAF" w14:textId="77777777">
      <w:pPr>
        <w:pStyle w:val="ListParagraph"/>
      </w:pPr>
      <w:r w:rsidRPr="00E255C3">
        <w:t xml:space="preserve">Must construct </w:t>
      </w:r>
      <w:r w:rsidRPr="009C6E95">
        <w:t xml:space="preserve">with equipment and service facilities that are designed and/or located to prevent water from entering or accumulating within the components in river corridor areas; </w:t>
      </w:r>
    </w:p>
    <w:p w:rsidRPr="009C6E95" w:rsidR="00E255C3" w:rsidP="009C6E95" w:rsidRDefault="00E255C3" w14:paraId="72A9823B" w14:textId="77777777">
      <w:pPr>
        <w:pStyle w:val="ListParagraph"/>
      </w:pPr>
      <w:r w:rsidRPr="009C6E95">
        <w:t xml:space="preserve">Must place charging equipment and manage cords to avoid tripping hazards in public locations; </w:t>
      </w:r>
    </w:p>
    <w:p w:rsidRPr="009C6E95" w:rsidR="00E255C3" w:rsidP="009C6E95" w:rsidRDefault="00E255C3" w14:paraId="6BF5F649" w14:textId="77777777">
      <w:pPr>
        <w:pStyle w:val="ListParagraph"/>
      </w:pPr>
      <w:r w:rsidRPr="009C6E95">
        <w:t xml:space="preserve">Must locate ancillary mechanical equipment and components (but not the charging station itself) so that they will be screened from view to the maximum extent feasible, and if adequate screening is not possible use materials and colors that will camouflage the ancillary equipment. </w:t>
      </w:r>
    </w:p>
    <w:p w:rsidRPr="009C6E95" w:rsidR="00E255C3" w:rsidP="009C6E95" w:rsidRDefault="00E255C3" w14:paraId="55F63B3D" w14:textId="77777777">
      <w:pPr>
        <w:pStyle w:val="ListParagraph"/>
      </w:pPr>
      <w:r w:rsidRPr="009C6E95">
        <w:t>Lighting should be required for EVSE available at night. The ordinance should reference the municipality’s lighting ordinance.</w:t>
      </w:r>
    </w:p>
    <w:p w:rsidRPr="009C6E95" w:rsidR="00E255C3" w:rsidP="009C6E95" w:rsidRDefault="00E255C3" w14:paraId="624B8294" w14:textId="77777777">
      <w:pPr>
        <w:pStyle w:val="ListParagraph"/>
      </w:pPr>
      <w:r w:rsidRPr="009C6E95">
        <w:t xml:space="preserve">Raceways must be continuous from the branch circuit/feeder panel location and end at a point allowing convenient future installation of and access to EVSE. The raceway shall be sized and installed per the National Electrical Code; however, in no case shall the EVSE infrastructure be less than 1” (one inch) in size. The EVSE infrastructure raceway shall include a pull rope or line installed for future conductor installation, with the raceway sealed and labeled as “EV-Ready” for future use. </w:t>
      </w:r>
    </w:p>
    <w:p w:rsidRPr="0043235C" w:rsidR="00E255C3" w:rsidP="009C6E95" w:rsidRDefault="00E255C3" w14:paraId="05DD456E" w14:textId="77777777">
      <w:pPr>
        <w:pStyle w:val="ListParagraph"/>
        <w:rPr>
          <w:rFonts w:cstheme="minorHAnsi"/>
        </w:rPr>
      </w:pPr>
      <w:r w:rsidRPr="009C6E95">
        <w:t>The electrical equipment room must have a dedicated space for the future installation of electrical equipment to serve the EVSE. This space shall be identified on all construction documents submitted for review, and must be in compliance with the National Electrical Code prescriptive requirements. The space shall not be used for any other permanent purpose, so as not</w:t>
      </w:r>
      <w:r w:rsidRPr="0043235C">
        <w:t xml:space="preserve"> to restrict future installation of electrical equipment </w:t>
      </w:r>
    </w:p>
    <w:p w:rsidRPr="00AC33A2" w:rsidR="00E255C3" w:rsidP="00AC33A2" w:rsidRDefault="00E255C3" w14:paraId="14BD4263" w14:textId="77777777">
      <w:pPr>
        <w:pStyle w:val="ListParagraph"/>
      </w:pPr>
      <w:r w:rsidRPr="0043235C">
        <w:t xml:space="preserve">Site design and plans must include the location(s) and type of raceway method(s), wiring schematics (if any), and </w:t>
      </w:r>
      <w:r w:rsidRPr="00AC33A2">
        <w:t xml:space="preserve">electrical calculations to verify that the electrical system has sufficient capacity to simultaneously support all future EVSE. </w:t>
      </w:r>
    </w:p>
    <w:p w:rsidRPr="0043235C" w:rsidR="00E255C3" w:rsidP="00AC33A2" w:rsidRDefault="00E255C3" w14:paraId="3BA896FF" w14:textId="77777777">
      <w:pPr>
        <w:pStyle w:val="ListParagraph"/>
        <w:rPr>
          <w:rFonts w:cstheme="minorHAnsi"/>
        </w:rPr>
      </w:pPr>
      <w:r w:rsidRPr="00AC33A2">
        <w:t>Raceway shall be wir</w:t>
      </w:r>
      <w:r w:rsidRPr="0043235C">
        <w:t xml:space="preserve">ed through the ceiling if the site is located within </w:t>
      </w:r>
      <w:r>
        <w:t>a FEMA Flood Hazard Area</w:t>
      </w:r>
      <w:r>
        <w:rPr>
          <w:rStyle w:val="FootnoteReference"/>
        </w:rPr>
        <w:footnoteReference w:id="10"/>
      </w:r>
      <w:r>
        <w:t xml:space="preserve">. </w:t>
      </w:r>
    </w:p>
    <w:p w:rsidR="00E255C3" w:rsidP="009E1BE7" w:rsidRDefault="00E255C3" w14:paraId="4DB595F8" w14:textId="77777777">
      <w:pPr>
        <w:pStyle w:val="Heading1"/>
        <w:rPr>
          <w:rFonts w:hint="eastAsia"/>
        </w:rPr>
      </w:pPr>
      <w:r w:rsidRPr="00341CA9">
        <w:t>Resources</w:t>
      </w:r>
    </w:p>
    <w:p w:rsidRPr="00AC33A2" w:rsidR="00E255C3" w:rsidP="009C6E95" w:rsidRDefault="00E255C3" w14:paraId="4A47230F" w14:textId="77777777">
      <w:pPr>
        <w:pStyle w:val="ListParagraph"/>
        <w:rPr>
          <w:rStyle w:val="Hyperlink"/>
        </w:rPr>
      </w:pPr>
      <w:r w:rsidRPr="009C6E95">
        <w:t xml:space="preserve">Massachusetts Stretch Energy Code Development 2022 (landing page): </w:t>
      </w:r>
      <w:hyperlink w:history="1" r:id="rId13">
        <w:r w:rsidRPr="00AC33A2">
          <w:rPr>
            <w:rStyle w:val="Hyperlink"/>
          </w:rPr>
          <w:t>https://www.mass.gov/info-details/stretch-energy-code-development-2022</w:t>
        </w:r>
      </w:hyperlink>
      <w:r w:rsidRPr="00AC33A2">
        <w:rPr>
          <w:rStyle w:val="Hyperlink"/>
        </w:rPr>
        <w:tab/>
      </w:r>
    </w:p>
    <w:p w:rsidRPr="009C6E95" w:rsidR="00E255C3" w:rsidP="009C6E95" w:rsidRDefault="00E255C3" w14:paraId="2618D9BB" w14:textId="77777777">
      <w:pPr>
        <w:pStyle w:val="ListParagraph"/>
        <w:rPr>
          <w:rStyle w:val="Hyperlink"/>
          <w:color w:val="auto"/>
          <w:u w:val="none"/>
        </w:rPr>
      </w:pPr>
      <w:r w:rsidRPr="009C6E95">
        <w:t>Massachusetts 2023 Residential Stretch code and Specialized Opt-</w:t>
      </w:r>
      <w:r w:rsidRPr="009C6E95">
        <w:rPr>
          <w:rStyle w:val="Hyperlink"/>
          <w:color w:val="auto"/>
          <w:u w:val="none"/>
        </w:rPr>
        <w:t xml:space="preserve">in code DOER Final Draft 9-19-22 Redline: </w:t>
      </w:r>
      <w:hyperlink w:history="1" r:id="rId14">
        <w:r w:rsidRPr="00AC33A2">
          <w:rPr>
            <w:rStyle w:val="Hyperlink"/>
          </w:rPr>
          <w:t>https://www.mass.gov/doc/residential-low-rise-stretch-energy-code-and-specialized-opt-in-code-language-redline/download</w:t>
        </w:r>
      </w:hyperlink>
    </w:p>
    <w:p w:rsidRPr="009C6E95" w:rsidR="00E255C3" w:rsidP="009C6E95" w:rsidRDefault="00E255C3" w14:paraId="2265A843" w14:textId="77777777">
      <w:pPr>
        <w:pStyle w:val="ListParagraph"/>
        <w:rPr>
          <w:rStyle w:val="Hyperlink"/>
          <w:color w:val="auto"/>
          <w:u w:val="none"/>
        </w:rPr>
      </w:pPr>
      <w:r w:rsidRPr="009C6E95">
        <w:t xml:space="preserve">Massachusetts 2023 Commercial Stretch code and Specialized Opt-in code DOER Final Draft 9-19-22 Redline: </w:t>
      </w:r>
      <w:hyperlink w:history="1" r:id="rId15">
        <w:r w:rsidRPr="00AC33A2">
          <w:rPr>
            <w:rStyle w:val="Hyperlink"/>
          </w:rPr>
          <w:t>https://www.mass.gov/doc/commercial-and-other-stretch-energy-code-and-specialized-opt-in-code-language-redline/download</w:t>
        </w:r>
      </w:hyperlink>
      <w:r w:rsidRPr="009C6E95">
        <w:tab/>
      </w:r>
      <w:r w:rsidRPr="009C6E95">
        <w:rPr>
          <w:rStyle w:val="Hyperlink"/>
          <w:color w:val="auto"/>
          <w:u w:val="none"/>
        </w:rPr>
        <w:tab/>
      </w:r>
    </w:p>
    <w:p w:rsidRPr="00AC33A2" w:rsidR="00E255C3" w:rsidP="009C6E95" w:rsidRDefault="00E255C3" w14:paraId="30F4D733" w14:textId="77777777">
      <w:pPr>
        <w:pStyle w:val="ListParagraph"/>
        <w:rPr>
          <w:rStyle w:val="Hyperlink"/>
        </w:rPr>
      </w:pPr>
      <w:r w:rsidRPr="009C6E95">
        <w:t xml:space="preserve">Boston Electric Vehicle Readiness Policy for New Developments: </w:t>
      </w:r>
      <w:hyperlink w:history="1" r:id="rId16">
        <w:r w:rsidRPr="00AC33A2">
          <w:rPr>
            <w:rStyle w:val="Hyperlink"/>
          </w:rPr>
          <w:t>https://www.boston.gov/sites/default/files/file/2020/03/EV%20Readiness%20Policy%20For%20New%20Developments%20%287%29.pdf</w:t>
        </w:r>
      </w:hyperlink>
    </w:p>
    <w:p w:rsidRPr="00AC33A2" w:rsidR="00E255C3" w:rsidP="009C6E95" w:rsidRDefault="00E255C3" w14:paraId="3BF09698" w14:textId="77777777">
      <w:pPr>
        <w:pStyle w:val="ListParagraph"/>
        <w:rPr>
          <w:rStyle w:val="Hyperlink"/>
        </w:rPr>
      </w:pPr>
      <w:r w:rsidRPr="009C6E95">
        <w:t xml:space="preserve">US DOE – EERE – AFDC: Electricity Laws and Incentives in MA: </w:t>
      </w:r>
      <w:hyperlink w:history="1" r:id="rId17">
        <w:r w:rsidRPr="00AC33A2">
          <w:rPr>
            <w:rStyle w:val="Hyperlink"/>
          </w:rPr>
          <w:t>https://afdc.energy.gov/fuels/laws/ELEC?state=MA</w:t>
        </w:r>
      </w:hyperlink>
    </w:p>
    <w:p w:rsidRPr="00AC33A2" w:rsidR="00E255C3" w:rsidP="009C6E95" w:rsidRDefault="00E255C3" w14:paraId="17CE219C" w14:textId="77777777">
      <w:pPr>
        <w:pStyle w:val="ListParagraph"/>
        <w:rPr>
          <w:rStyle w:val="Hyperlink"/>
        </w:rPr>
      </w:pPr>
      <w:r w:rsidRPr="009C6E95">
        <w:t xml:space="preserve">2022 California Green Building Standards Code, Title 24, Part 11 (CALGreen): </w:t>
      </w:r>
      <w:hyperlink w:history="1" r:id="rId18">
        <w:r w:rsidRPr="00AC33A2">
          <w:rPr>
            <w:rStyle w:val="Hyperlink"/>
          </w:rPr>
          <w:t>https://codes.iccsafe.org/content/CAGBC2022P1</w:t>
        </w:r>
      </w:hyperlink>
      <w:r w:rsidRPr="00AC33A2">
        <w:rPr>
          <w:rStyle w:val="Hyperlink"/>
        </w:rPr>
        <w:tab/>
      </w:r>
    </w:p>
    <w:p w:rsidRPr="00AC33A2" w:rsidR="00E255C3" w:rsidP="009C6E95" w:rsidRDefault="00E255C3" w14:paraId="59EC0FB9" w14:textId="77777777">
      <w:pPr>
        <w:pStyle w:val="ListParagraph"/>
        <w:rPr>
          <w:rStyle w:val="Hyperlink"/>
        </w:rPr>
      </w:pPr>
      <w:r w:rsidRPr="009C6E95">
        <w:t xml:space="preserve">2020 Vermont Commercial Building Energy Standards: </w:t>
      </w:r>
      <w:hyperlink w:history="1" r:id="rId19">
        <w:r w:rsidRPr="00AC33A2">
          <w:rPr>
            <w:rStyle w:val="Hyperlink"/>
          </w:rPr>
          <w:t>https://publicservice.vermont.gov/sites/dps/files/documents/CBES%202023%20full-text%20redline%20incorporating%20proposed%20amendments%209232022.pdf</w:t>
        </w:r>
      </w:hyperlink>
      <w:r w:rsidRPr="00AC33A2">
        <w:rPr>
          <w:rStyle w:val="Hyperlink"/>
        </w:rPr>
        <w:tab/>
      </w:r>
    </w:p>
    <w:p w:rsidRPr="00AC33A2" w:rsidR="00E255C3" w:rsidP="009C6E95" w:rsidRDefault="00E255C3" w14:paraId="502412EF" w14:textId="77777777">
      <w:pPr>
        <w:pStyle w:val="ListParagraph"/>
        <w:rPr>
          <w:rStyle w:val="Hyperlink"/>
        </w:rPr>
      </w:pPr>
      <w:r w:rsidRPr="009C6E95">
        <w:t xml:space="preserve">2020 Vermont Residential Building Energy Standards: </w:t>
      </w:r>
      <w:hyperlink w:history="1" r:id="rId20">
        <w:r w:rsidRPr="00AC33A2">
          <w:rPr>
            <w:rStyle w:val="Hyperlink"/>
          </w:rPr>
          <w:t>https://codes.iccsafe.org/content/VTRES2020P1</w:t>
        </w:r>
      </w:hyperlink>
    </w:p>
    <w:p w:rsidRPr="00AC33A2" w:rsidR="00E255C3" w:rsidP="009C6E95" w:rsidRDefault="00E255C3" w14:paraId="12F735CA" w14:textId="77777777">
      <w:pPr>
        <w:pStyle w:val="ListParagraph"/>
        <w:rPr>
          <w:rStyle w:val="Hyperlink"/>
        </w:rPr>
      </w:pPr>
      <w:r w:rsidRPr="009C6E95">
        <w:t xml:space="preserve">2020 Vermont Residential Building Standards (RBES) Energy Code Handbook: </w:t>
      </w:r>
      <w:hyperlink w:history="1" r:id="rId21">
        <w:r w:rsidRPr="00AC33A2">
          <w:rPr>
            <w:rStyle w:val="Hyperlink"/>
          </w:rPr>
          <w:t>https://publicservice.vermont.gov/sites/dps/files/documents/2020-VT_Residential_Energy_Code_Handbook_v8.pdf</w:t>
        </w:r>
      </w:hyperlink>
      <w:r w:rsidRPr="00AC33A2">
        <w:rPr>
          <w:rStyle w:val="Hyperlink"/>
        </w:rPr>
        <w:tab/>
      </w:r>
    </w:p>
    <w:p w:rsidRPr="00AC33A2" w:rsidR="00E255C3" w:rsidP="009C6E95" w:rsidRDefault="00E255C3" w14:paraId="30D74D7E" w14:textId="77777777">
      <w:pPr>
        <w:pStyle w:val="ListParagraph"/>
        <w:rPr>
          <w:rStyle w:val="Hyperlink"/>
        </w:rPr>
      </w:pPr>
      <w:r w:rsidRPr="009C6E95">
        <w:t xml:space="preserve">Sustainable New Jersey Guidance for Creating Plug-In Electric Vehicle (PEV) Friendly Ordinances: </w:t>
      </w:r>
      <w:hyperlink w:history="1" r:id="rId22">
        <w:r w:rsidRPr="00AC33A2">
          <w:rPr>
            <w:rStyle w:val="Hyperlink"/>
          </w:rPr>
          <w:t>https://www.sustainablejersey.com/fileadmin/media/Actions_and_Certification/Actions/Make_Your_Town_EV_Friendly/Guidance_for_Creating_EV_Friendly_Ordinance_V.1_April_2017__1_.pdf</w:t>
        </w:r>
      </w:hyperlink>
    </w:p>
    <w:p w:rsidRPr="009C6E95" w:rsidR="00E255C3" w:rsidP="009C6E95" w:rsidRDefault="00E255C3" w14:paraId="4EC49CB6" w14:textId="51F782D5">
      <w:pPr>
        <w:pStyle w:val="ListParagraph"/>
      </w:pPr>
      <w:r w:rsidRPr="009C6E95">
        <w:t xml:space="preserve">Southwest Energy Efficiency Project (SWEEP) – EV Infrastructure Building Codes: Adoption Toolkit: </w:t>
      </w:r>
      <w:hyperlink w:history="1" r:id="rId23">
        <w:r w:rsidRPr="00AC33A2">
          <w:rPr>
            <w:rStyle w:val="Hyperlink"/>
          </w:rPr>
          <w:t>https://www.swenergy.org/transportation/electric-vehicles/building-codes</w:t>
        </w:r>
      </w:hyperlink>
    </w:p>
    <w:p w:rsidRPr="00AC33A2" w:rsidR="00E255C3" w:rsidP="009C6E95" w:rsidRDefault="00E255C3" w14:paraId="67BCC5F6" w14:textId="0616B514">
      <w:pPr>
        <w:pStyle w:val="ListParagraph"/>
        <w:rPr>
          <w:rStyle w:val="Hyperlink"/>
        </w:rPr>
      </w:pPr>
      <w:r w:rsidRPr="009C6E95">
        <w:t xml:space="preserve">Southwest Energy Efficiency Project (SWEEP) – EV Ready Parking Requirements Master List: </w:t>
      </w:r>
      <w:hyperlink w:history="1" w:anchor="gid=27292754" r:id="rId24">
        <w:r w:rsidRPr="00AC33A2">
          <w:rPr>
            <w:rStyle w:val="Hyperlink"/>
          </w:rPr>
          <w:t>https://docs.google.com/spreadsheets/d/1lgppSv7HvU4ExH8TJarE23o8-Y-q9oLV0TaBPBMKaiE/edit#gid=27292754</w:t>
        </w:r>
      </w:hyperlink>
    </w:p>
    <w:p w:rsidRPr="00AC33A2" w:rsidR="00E255C3" w:rsidP="009C6E95" w:rsidRDefault="00E255C3" w14:paraId="50035205" w14:textId="6787C7F7">
      <w:pPr>
        <w:pStyle w:val="ListParagraph"/>
        <w:rPr>
          <w:rStyle w:val="Hyperlink"/>
        </w:rPr>
      </w:pPr>
      <w:r w:rsidRPr="009C6E95">
        <w:t xml:space="preserve">Franklin Regional Council of Governments – Evaluation of Demand for Electric Vehicle Charging Stations in Franklin County (2017): </w:t>
      </w:r>
      <w:hyperlink w:history="1" w:anchor="gid=27292754" r:id="rId25">
        <w:r w:rsidRPr="00AC33A2">
          <w:rPr>
            <w:rStyle w:val="Hyperlink"/>
          </w:rPr>
          <w:t>https://docs.google.com/spreadsheets/d/1lgppSv7HvU4ExH8TJarE23o8-Y-q9oLV0TaBPBMKaiE/edit#gid=27292754</w:t>
        </w:r>
      </w:hyperlink>
    </w:p>
    <w:p w:rsidRPr="00AC33A2" w:rsidR="00E255C3" w:rsidP="009C6E95" w:rsidRDefault="00E255C3" w14:paraId="2A6E79FC" w14:textId="77777777">
      <w:pPr>
        <w:pStyle w:val="ListParagraph"/>
        <w:rPr>
          <w:rStyle w:val="Hyperlink"/>
        </w:rPr>
      </w:pPr>
      <w:r w:rsidRPr="009C6E95">
        <w:t xml:space="preserve">Pioneer Valley Electric Vehicle (EV) Charging Station Plan/Guide (2017): </w:t>
      </w:r>
      <w:hyperlink w:history="1" r:id="rId26">
        <w:r w:rsidRPr="00AC33A2">
          <w:rPr>
            <w:rStyle w:val="Hyperlink"/>
          </w:rPr>
          <w:t>https://www.pvpc.org/sites/default/files/doc-ev-charging-station-plan/guide3215.pdf</w:t>
        </w:r>
      </w:hyperlink>
    </w:p>
    <w:p w:rsidRPr="00AC33A2" w:rsidR="00E255C3" w:rsidP="009C6E95" w:rsidRDefault="00E255C3" w14:paraId="6B4A8F29" w14:textId="4ABE4B08">
      <w:pPr>
        <w:pStyle w:val="ListParagraph"/>
        <w:rPr>
          <w:rStyle w:val="Hyperlink"/>
        </w:rPr>
      </w:pPr>
      <w:r w:rsidRPr="009C6E95">
        <w:t xml:space="preserve">Pacific Northwest National Laboratory (PNNL) Electric Vehicle Charging for Residential and Commercial Energy Codes – Technical Brief (2021): </w:t>
      </w:r>
      <w:hyperlink w:history="1" r:id="rId27">
        <w:r w:rsidRPr="00AC33A2">
          <w:rPr>
            <w:rStyle w:val="Hyperlink"/>
          </w:rPr>
          <w:t>https://www.energycodes.gov/sites/default/files/2021-07/TechBrief_EV_Charging_July2021.pdf</w:t>
        </w:r>
      </w:hyperlink>
    </w:p>
    <w:p w:rsidRPr="00AC33A2" w:rsidR="00E255C3" w:rsidP="009C6E95" w:rsidRDefault="00E255C3" w14:paraId="26631733" w14:textId="77777777">
      <w:pPr>
        <w:pStyle w:val="ListParagraph"/>
        <w:rPr>
          <w:rStyle w:val="Hyperlink"/>
        </w:rPr>
      </w:pPr>
      <w:r w:rsidRPr="009C6E95">
        <w:t xml:space="preserve">National Electric Vehicle Infrastructure (NEVI) Program Deployment Play for Massachusetts </w:t>
      </w:r>
      <w:hyperlink w:history="1" r:id="rId28">
        <w:r w:rsidRPr="00AC33A2">
          <w:rPr>
            <w:rStyle w:val="Hyperlink"/>
          </w:rPr>
          <w:t>https://www.mass.gov/doc/massdot-nevi-plan/download</w:t>
        </w:r>
      </w:hyperlink>
    </w:p>
    <w:p w:rsidRPr="00AC33A2" w:rsidR="00E255C3" w:rsidP="009C6E95" w:rsidRDefault="00E255C3" w14:paraId="427DCA62" w14:textId="77777777">
      <w:pPr>
        <w:pStyle w:val="ListParagraph"/>
        <w:rPr>
          <w:rStyle w:val="Hyperlink"/>
        </w:rPr>
      </w:pPr>
      <w:r w:rsidRPr="009C6E95">
        <w:t xml:space="preserve">Approval of Massachusetts Electric Vehicle Infrastructure Deployment Plan: </w:t>
      </w:r>
      <w:hyperlink w:history="1" r:id="rId29">
        <w:r w:rsidRPr="00AC33A2">
          <w:rPr>
            <w:rStyle w:val="Hyperlink"/>
          </w:rPr>
          <w:t>https://www.mass.gov/doc/approval-of-massachusetts-electric-vehicle-infrastructure-deployment-plan/download</w:t>
        </w:r>
      </w:hyperlink>
    </w:p>
    <w:p w:rsidRPr="009C6E95" w:rsidR="00E255C3" w:rsidP="009C6E95" w:rsidRDefault="00E255C3" w14:paraId="6EC9D6AF" w14:textId="6AB9A797">
      <w:pPr>
        <w:pStyle w:val="ListParagraph"/>
        <w:rPr>
          <w:rStyle w:val="Hyperlink"/>
        </w:rPr>
      </w:pPr>
      <w:r w:rsidRPr="009C6E95">
        <w:t xml:space="preserve">U.S. Access Board – Design Recommendations for Accessible Electric Vehicle Charging Stations: </w:t>
      </w:r>
      <w:hyperlink w:history="1" r:id="rId30">
        <w:r w:rsidRPr="009C6E95">
          <w:rPr>
            <w:rStyle w:val="Hyperlink"/>
          </w:rPr>
          <w:t>https://www.access-board.gov/tad/ev/</w:t>
        </w:r>
      </w:hyperlink>
    </w:p>
    <w:p w:rsidRPr="009C6E95" w:rsidR="00E255C3" w:rsidP="009C6E95" w:rsidRDefault="00E255C3" w14:paraId="503DE38C" w14:textId="77777777">
      <w:pPr>
        <w:pStyle w:val="ListParagraph"/>
      </w:pPr>
      <w:r w:rsidRPr="009C6E95">
        <w:t xml:space="preserve">US DOE Energy Efficiency &amp; Renewable Energy Alternative Fuels Data Center (AFDC) – Signage for Electric Vehicle Charging Stations: </w:t>
      </w:r>
      <w:hyperlink w:history="1" r:id="rId31">
        <w:r w:rsidRPr="009C6E95">
          <w:rPr>
            <w:rStyle w:val="Hyperlink"/>
            <w:color w:val="auto"/>
            <w:u w:val="none"/>
          </w:rPr>
          <w:t>https://afdc.energy.gov/fuels/electricity_charging_station_signage.html</w:t>
        </w:r>
      </w:hyperlink>
    </w:p>
    <w:p w:rsidRPr="009C6E95" w:rsidR="00E255C3" w:rsidP="009C6E95" w:rsidRDefault="00E255C3" w14:paraId="714F41F4" w14:textId="761AE928">
      <w:pPr>
        <w:pStyle w:val="ListParagraph"/>
      </w:pPr>
      <w:r w:rsidRPr="009C6E95">
        <w:t xml:space="preserve">US DOT Federal Highway Administration Manual on Uniform Traffic Control Devices (MUTDC) for Streets and Highways: </w:t>
      </w:r>
      <w:hyperlink w:history="1" r:id="rId32">
        <w:r w:rsidRPr="009C6E95">
          <w:rPr>
            <w:rStyle w:val="Hyperlink"/>
          </w:rPr>
          <w:t>https://mutcd.fhwa.dot.gov/index.htm</w:t>
        </w:r>
      </w:hyperlink>
      <w:r w:rsidR="009C6E95">
        <w:rPr>
          <w:rStyle w:val="Hyperlink"/>
          <w:color w:val="auto"/>
          <w:u w:val="none"/>
        </w:rPr>
        <w:t xml:space="preserve"> </w:t>
      </w:r>
    </w:p>
    <w:p w:rsidRPr="009C6E95" w:rsidR="00E255C3" w:rsidP="009C6E95" w:rsidRDefault="00E255C3" w14:paraId="08A23484" w14:textId="09D91FAB">
      <w:pPr>
        <w:pStyle w:val="ListParagraph"/>
        <w:rPr>
          <w:rStyle w:val="Hyperlink"/>
        </w:rPr>
      </w:pPr>
      <w:r w:rsidRPr="009C6E95">
        <w:t xml:space="preserve">Trafficsign.com – No Parking Except While Charging Sign: </w:t>
      </w:r>
      <w:hyperlink w:history="1" r:id="rId33">
        <w:r w:rsidRPr="009C6E95">
          <w:rPr>
            <w:rStyle w:val="Hyperlink"/>
          </w:rPr>
          <w:t>https://www.trafficsign.com/products/15417/no-parking-except-while-charging-sign-r7-113</w:t>
        </w:r>
      </w:hyperlink>
      <w:r w:rsidRPr="009C6E95" w:rsidR="009C6E95">
        <w:rPr>
          <w:rStyle w:val="Hyperlink"/>
        </w:rPr>
        <w:t xml:space="preserve"> </w:t>
      </w:r>
    </w:p>
    <w:p w:rsidRPr="009C6E95" w:rsidR="009C6E95" w:rsidP="009C6E95" w:rsidRDefault="00E255C3" w14:paraId="13EDB46A" w14:textId="7B0D68B4">
      <w:pPr>
        <w:pStyle w:val="ListParagraph"/>
        <w:rPr>
          <w:rStyle w:val="Hyperlink"/>
          <w:bCs/>
          <w:color w:val="1D3B46" w:themeColor="accent1" w:themeShade="7F"/>
          <w:szCs w:val="22"/>
        </w:rPr>
      </w:pPr>
      <w:r w:rsidRPr="009C6E95">
        <w:t>Cape Cod Commission Solar Screening Tool:</w:t>
      </w:r>
      <w:r w:rsidR="009C6E95">
        <w:br/>
      </w:r>
      <w:hyperlink w:history="1" r:id="rId34">
        <w:r w:rsidRPr="00576943" w:rsidR="00576943">
          <w:rPr>
            <w:rStyle w:val="Hyperlink"/>
          </w:rPr>
          <w:t>https://www.capecodcommission.org/our-work/solar-screening-tool/</w:t>
        </w:r>
      </w:hyperlink>
    </w:p>
    <w:sectPr w:rsidRPr="009C6E95" w:rsidR="009C6E95" w:rsidSect="00144F69">
      <w:headerReference w:type="default" r:id="rId35"/>
      <w:footerReference w:type="default" r:id="rId36"/>
      <w:headerReference w:type="first" r:id="rId37"/>
      <w:footerReference w:type="first" r:id="rId38"/>
      <w:pgSz w:w="12240" w:h="15840" w:code="1"/>
      <w:pgMar w:top="2340" w:right="1440" w:bottom="1440" w:left="1440" w:header="1008" w:footer="50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387F" w:rsidP="00B22CE7" w:rsidRDefault="00BC387F" w14:paraId="54E3A21F" w14:textId="77777777">
      <w:r>
        <w:separator/>
      </w:r>
    </w:p>
  </w:endnote>
  <w:endnote w:type="continuationSeparator" w:id="0">
    <w:p w:rsidR="00BC387F" w:rsidP="00B22CE7" w:rsidRDefault="00BC387F" w14:paraId="1E015BF4" w14:textId="77777777">
      <w:r>
        <w:continuationSeparator/>
      </w:r>
    </w:p>
  </w:endnote>
  <w:endnote w:type="continuationNotice" w:id="1">
    <w:p w:rsidR="00BC387F" w:rsidRDefault="00BC387F" w14:paraId="4387727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w:fontKey="{A61F35DA-610A-4793-A00D-337F4144E395}" r:id="rId1"/>
  </w:font>
  <w:font w:name="Times New Roman">
    <w:panose1 w:val="02020603050405020304"/>
    <w:charset w:val="00"/>
    <w:family w:val="roman"/>
    <w:pitch w:val="variable"/>
    <w:sig w:usb0="E0002EFF" w:usb1="C000785B" w:usb2="00000009" w:usb3="00000000" w:csb0="000001FF" w:csb1="00000000"/>
    <w:embedRegular w:fontKey="{621C0F2E-2255-422D-A6F1-3DA1F21E8A37}" r:id="rId2"/>
    <w:embedBold w:fontKey="{41623CD3-07B6-40FE-A4A8-80C75410579C}" r:id="rId3"/>
    <w:embedItalic w:fontKey="{C7E3A598-20DE-4B92-AF94-9701E8D1F32C}" r:id="rId4"/>
    <w:embedBoldItalic w:fontKey="{FF5EAD0F-0DE8-4A24-8151-E5499B21BFCF}" r:id="rId5"/>
  </w:font>
  <w:font w:name="Montserrat">
    <w:charset w:val="00"/>
    <w:family w:val="roman"/>
    <w:pitch w:val="default"/>
    <w:embedRegular w:fontKey="{EBE511FA-4BE3-447B-8F7D-C9A61E87CCEC}" r:id="rId6"/>
    <w:embedBold w:fontKey="{028D1F67-5D02-4067-AC54-3D373B1D605D}" r:id="rId7"/>
    <w:embedItalic w:fontKey="{68D3A3D2-8752-4C27-BAB8-E93D5CD77F66}" r:id="rId8"/>
  </w:font>
  <w:font w:name="Courier New">
    <w:panose1 w:val="02070309020205020404"/>
    <w:charset w:val="00"/>
    <w:family w:val="modern"/>
    <w:pitch w:val="fixed"/>
    <w:sig w:usb0="E0002EFF" w:usb1="C0007843" w:usb2="00000009" w:usb3="00000000" w:csb0="000001FF" w:csb1="00000000"/>
    <w:embedRegular w:fontKey="{F48A44FB-FDFD-4EE9-A150-1B7586B35334}" r:id="rId9"/>
  </w:font>
  <w:font w:name="Wingdings">
    <w:panose1 w:val="05000000000000000000"/>
    <w:charset w:val="02"/>
    <w:family w:val="auto"/>
    <w:pitch w:val="variable"/>
    <w:sig w:usb0="00000000" w:usb1="10000000" w:usb2="00000000" w:usb3="00000000" w:csb0="80000000" w:csb1="00000000"/>
    <w:embedRegular w:fontKey="{2D8D4C43-4D0F-4D37-BE3C-F87116E5202E}" r:id="rId10"/>
  </w:font>
  <w:font w:name="Calibri">
    <w:panose1 w:val="020F0502020204030204"/>
    <w:charset w:val="00"/>
    <w:family w:val="swiss"/>
    <w:pitch w:val="variable"/>
    <w:sig w:usb0="E4002EFF" w:usb1="C000247B" w:usb2="00000009" w:usb3="00000000" w:csb0="000001FF" w:csb1="00000000"/>
    <w:embedRegular w:fontKey="{B74A197A-5C6C-4B90-BC5C-65B67CC10774}" r:id="rId11"/>
  </w:font>
  <w:font w:name="SimSun">
    <w:altName w:val="宋体"/>
    <w:panose1 w:val="02010600030101010101"/>
    <w:charset w:val="86"/>
    <w:family w:val="auto"/>
    <w:pitch w:val="variable"/>
    <w:sig w:usb0="00000203" w:usb1="288F0000" w:usb2="00000016" w:usb3="00000000" w:csb0="00040001" w:csb1="00000000"/>
  </w:font>
  <w:font w:name="Open Sans">
    <w:charset w:val="00"/>
    <w:family w:val="roman"/>
    <w:pitch w:val="default"/>
    <w:embedRegular w:fontKey="{D8D0B207-44F4-4FA0-AB16-DD23D5541255}" r:id="rId12"/>
    <w:embedBold w:fontKey="{5C48E098-3057-4CAB-9144-512E0F353277}" r:id="rId13"/>
    <w:embedItalic w:fontKey="{59350E66-6AF8-4264-A58B-75B7FF9F4838}" r:id="rId14"/>
    <w:embedBoldItalic w:fontKey="{E952B619-7781-45F1-AE88-D2E2D7147C1D}" r:id="rId15"/>
  </w:font>
  <w:font w:name="SimHei">
    <w:altName w:val="黑体"/>
    <w:panose1 w:val="02010600030101010101"/>
    <w:charset w:val="86"/>
    <w:family w:val="modern"/>
    <w:pitch w:val="fixed"/>
    <w:sig w:usb0="00000001" w:usb1="080E0000" w:usb2="00000010" w:usb3="00000000" w:csb0="00040000" w:csb1="00000000"/>
  </w:font>
  <w:font w:name="Montserrat SemiBold">
    <w:charset w:val="4D"/>
    <w:family w:val="auto"/>
    <w:pitch w:val="variable"/>
    <w:sig w:usb0="2000020F" w:usb1="00000003" w:usb2="00000000" w:usb3="00000000" w:csb0="00000197" w:csb1="00000000"/>
    <w:embedRegular w:fontKey="{B96AA9ED-0A9C-4E85-999E-0B184E76370A}" r:id="rId16"/>
  </w:font>
  <w:font w:name="Montserrat Medium">
    <w:charset w:val="4D"/>
    <w:family w:val="auto"/>
    <w:pitch w:val="variable"/>
    <w:sig w:usb0="2000020F" w:usb1="00000003" w:usb2="00000000" w:usb3="00000000" w:csb0="00000197" w:csb1="00000000"/>
    <w:embedRegular w:fontKey="{86CAAAF3-3C5F-45D6-A8D3-136CF089F1DF}" r:id="rId17"/>
    <w:embedBold w:fontKey="{A0CB2E70-39E9-498E-8C8B-224EF185852E}" r:id="rId18"/>
  </w:font>
  <w:font w:name="Lora">
    <w:charset w:val="00"/>
    <w:family w:val="auto"/>
    <w:pitch w:val="variable"/>
    <w:sig w:usb0="A00002FF" w:usb1="5000204B" w:usb2="00000000" w:usb3="00000000" w:csb0="00000197" w:csb1="00000000"/>
    <w:embedItalic w:fontKey="{893976EA-6B29-46AB-BAFD-DCFB2E9DE9D8}" r:id="rId19"/>
  </w:font>
  <w:font w:name="Segoe UI">
    <w:panose1 w:val="020B0502040204020203"/>
    <w:charset w:val="00"/>
    <w:family w:val="swiss"/>
    <w:pitch w:val="variable"/>
    <w:sig w:usb0="E4002EFF" w:usb1="C000E47F" w:usb2="00000009" w:usb3="00000000" w:csb0="000001FF" w:csb1="00000000"/>
    <w:embedRegular w:fontKey="{E5823D2D-F5F4-4334-9F2F-0076D82C03D8}" r:id="rId20"/>
  </w:font>
  <w:font w:name="Georgia">
    <w:panose1 w:val="02040502050405020303"/>
    <w:charset w:val="00"/>
    <w:family w:val="roman"/>
    <w:pitch w:val="variable"/>
    <w:sig w:usb0="00000287" w:usb1="00000000" w:usb2="00000000" w:usb3="00000000" w:csb0="0000009F" w:csb1="00000000"/>
    <w:embedRegular w:fontKey="{1400AEA4-CCF0-4770-8FD0-FF51C63F45CD}" r:id="rId21"/>
    <w:embedBold w:fontKey="{32015B35-1921-422F-995F-320F757FE9A5}" r:id="rId22"/>
  </w:font>
  <w:font w:name="Open Sans Light">
    <w:charset w:val="00"/>
    <w:family w:val="swiss"/>
    <w:pitch w:val="variable"/>
    <w:sig w:usb0="E00002EF" w:usb1="4000205B" w:usb2="00000028" w:usb3="00000000" w:csb0="0000019F" w:csb1="00000000"/>
    <w:embedRegular w:fontKey="{19296E30-D064-4837-80EA-A22396228D0C}" r:id="rId23"/>
  </w:font>
  <w:font w:name="Times New Roman Bold">
    <w:altName w:val="Times New Roman"/>
    <w:panose1 w:val="00000000000000000000"/>
    <w:charset w:val="00"/>
    <w:family w:val="roman"/>
    <w:notTrueType/>
    <w:pitch w:val="default"/>
    <w:sig w:usb0="00000003" w:usb1="00000000" w:usb2="00000000" w:usb3="00000000" w:csb0="00000001" w:csb1="00000000"/>
  </w:font>
  <w:font w:name="Yu Mincho">
    <w:altName w:val="Yu Gothic"/>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embedRegular w:fontKey="{1B08D0A7-7F63-47EA-949B-5313290357E5}" r:id="rId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45495" w:rsidR="007000FF" w:rsidP="0059032D" w:rsidRDefault="007000FF" w14:paraId="24ED134E" w14:textId="38E5512B">
    <w:pPr>
      <w:pStyle w:val="Footer"/>
      <w:tabs>
        <w:tab w:val="clear" w:pos="10080"/>
        <w:tab w:val="right" w:pos="9360"/>
      </w:tabs>
      <w:rPr>
        <w:szCs w:val="20"/>
      </w:rPr>
    </w:pPr>
    <w:r w:rsidRPr="00045495">
      <w:tab/>
    </w:r>
    <w:r>
      <w:fldChar w:fldCharType="begin"/>
    </w:r>
    <w:r>
      <w:instrText>STYLEREF  Subtitle  \* MERGEFORMAT</w:instrText>
    </w:r>
    <w:r>
      <w:fldChar w:fldCharType="separate"/>
    </w:r>
    <w:r w:rsidR="00E717B6">
      <w:rPr>
        <w:noProof/>
      </w:rPr>
      <w:t>Municipal Electric Vehicle Bylaw</w:t>
    </w:r>
    <w:r>
      <w:fldChar w:fldCharType="end"/>
    </w:r>
    <w:r w:rsidRPr="00045495">
      <w:t xml:space="preserve"> </w:t>
    </w:r>
    <w:r w:rsidRPr="00045495">
      <w:rPr>
        <w:noProof/>
      </w:rPr>
      <w:t xml:space="preserve"> </w:t>
    </w:r>
    <w:r w:rsidRPr="00045495">
      <w:rPr>
        <w:noProof/>
        <w:color w:val="FDB517" w:themeColor="accent2"/>
      </w:rPr>
      <w:t>|</w:t>
    </w:r>
    <w:r w:rsidRPr="00045495">
      <w:t xml:space="preserve">  </w:t>
    </w:r>
    <w:r w:rsidRPr="00045495">
      <w:fldChar w:fldCharType="begin"/>
    </w:r>
    <w:r w:rsidRPr="00045495">
      <w:instrText xml:space="preserve"> PAGE   \* MERGEFORMAT </w:instrText>
    </w:r>
    <w:r w:rsidRPr="00045495">
      <w:fldChar w:fldCharType="separate"/>
    </w:r>
    <w:r w:rsidRPr="00045495">
      <w:t>2</w:t>
    </w:r>
    <w:r w:rsidRPr="0004549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5005C" w:rsidR="007000FF" w:rsidP="00F72CE8" w:rsidRDefault="007000FF" w14:paraId="38320E20" w14:textId="72801D5E">
    <w:pPr>
      <w:pStyle w:val="Footer"/>
    </w:pPr>
    <w:r w:rsidRPr="0095005C">
      <w:tab/>
    </w:r>
    <w:r>
      <w:fldChar w:fldCharType="begin"/>
    </w:r>
    <w:r>
      <w:instrText>STYLEREF  Subtitle  \* MERGEFORMAT</w:instrText>
    </w:r>
    <w:r>
      <w:fldChar w:fldCharType="separate"/>
    </w:r>
    <w:r w:rsidR="00E717B6">
      <w:rPr>
        <w:noProof/>
      </w:rPr>
      <w:t>Municipal Electric Vehicle Bylaw</w:t>
    </w:r>
    <w:r>
      <w:fldChar w:fldCharType="end"/>
    </w:r>
    <w:r w:rsidRPr="0095005C">
      <w:t xml:space="preserve">  </w:t>
    </w:r>
    <w:r w:rsidRPr="0095005C">
      <w:rPr>
        <w:color w:val="FDB517" w:themeColor="accent2"/>
      </w:rPr>
      <w:t>|</w:t>
    </w:r>
    <w:r w:rsidRPr="0095005C">
      <w:t xml:space="preserve">  </w:t>
    </w:r>
    <w:r w:rsidRPr="0095005C">
      <w:fldChar w:fldCharType="begin"/>
    </w:r>
    <w:r w:rsidRPr="0095005C">
      <w:instrText xml:space="preserve"> PAGE   \* MERGEFORMAT </w:instrText>
    </w:r>
    <w:r w:rsidRPr="0095005C">
      <w:fldChar w:fldCharType="separate"/>
    </w:r>
    <w:r w:rsidRPr="0095005C">
      <w:t>1</w:t>
    </w:r>
    <w:r w:rsidRPr="0095005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387F" w:rsidP="00B22CE7" w:rsidRDefault="00BC387F" w14:paraId="22F760C3" w14:textId="77777777">
      <w:r>
        <w:separator/>
      </w:r>
    </w:p>
  </w:footnote>
  <w:footnote w:type="continuationSeparator" w:id="0">
    <w:p w:rsidR="00BC387F" w:rsidP="00B22CE7" w:rsidRDefault="00BC387F" w14:paraId="6C6143F6" w14:textId="77777777">
      <w:r>
        <w:continuationSeparator/>
      </w:r>
    </w:p>
  </w:footnote>
  <w:footnote w:type="continuationNotice" w:id="1">
    <w:p w:rsidR="00BC387F" w:rsidRDefault="00BC387F" w14:paraId="43FFD819" w14:textId="77777777">
      <w:pPr>
        <w:spacing w:after="0" w:line="240" w:lineRule="auto"/>
      </w:pPr>
    </w:p>
  </w:footnote>
  <w:footnote w:id="2">
    <w:p w:rsidR="00E255C3" w:rsidP="00E255C3" w:rsidRDefault="00E255C3" w14:paraId="1A390D75" w14:textId="77777777">
      <w:pPr>
        <w:pStyle w:val="FootnoteText"/>
      </w:pPr>
      <w:r>
        <w:rPr>
          <w:rStyle w:val="FootnoteReference"/>
        </w:rPr>
        <w:footnoteRef/>
      </w:r>
      <w:r>
        <w:t xml:space="preserve"> </w:t>
      </w:r>
      <w:hyperlink w:history="1" r:id="rId1">
        <w:r w:rsidRPr="00D803D8">
          <w:rPr>
            <w:rStyle w:val="Hyperlink"/>
          </w:rPr>
          <w:t>https://www.capecodcommission.org/resource-library/file/?url=/dept/commission/team/climate/Shared%20Documents/Climate%20Action%20Plan/Cape-Cod-Climate-Action-Plan.pdf</w:t>
        </w:r>
      </w:hyperlink>
      <w:r>
        <w:tab/>
      </w:r>
    </w:p>
  </w:footnote>
  <w:footnote w:id="3">
    <w:p w:rsidRPr="00FC7F32" w:rsidR="00E255C3" w:rsidP="00E255C3" w:rsidRDefault="00E255C3" w14:paraId="19C611FB" w14:textId="77777777">
      <w:pPr>
        <w:pStyle w:val="FootnoteText"/>
        <w:rPr>
          <w:rStyle w:val="Hyperlink"/>
        </w:rPr>
      </w:pPr>
      <w:r>
        <w:rPr>
          <w:rStyle w:val="FootnoteReference"/>
        </w:rPr>
        <w:footnoteRef/>
      </w:r>
      <w:r>
        <w:t xml:space="preserve"> </w:t>
      </w:r>
      <w:hyperlink w:history="1" r:id="rId2">
        <w:r w:rsidRPr="00FC7F32">
          <w:rPr>
            <w:rStyle w:val="Hyperlink"/>
          </w:rPr>
          <w:t>Attachment A: CARB Submission for EV Charging Infra for Non-Res</w:t>
        </w:r>
      </w:hyperlink>
    </w:p>
  </w:footnote>
  <w:footnote w:id="4">
    <w:p w:rsidR="00E255C3" w:rsidP="00E255C3" w:rsidRDefault="00E255C3" w14:paraId="5EAC80CE" w14:textId="77777777">
      <w:pPr>
        <w:pStyle w:val="FootnoteText"/>
      </w:pPr>
      <w:r>
        <w:rPr>
          <w:rStyle w:val="FootnoteReference"/>
        </w:rPr>
        <w:footnoteRef/>
      </w:r>
      <w:r>
        <w:t xml:space="preserve"> </w:t>
      </w:r>
      <w:hyperlink w:history="1" r:id="rId3">
        <w:r w:rsidRPr="00D803D8">
          <w:rPr>
            <w:rStyle w:val="Hyperlink"/>
          </w:rPr>
          <w:t>https://www.swenergy.org/transportation/electric-vehicles/building-codes</w:t>
        </w:r>
      </w:hyperlink>
      <w:r>
        <w:tab/>
      </w:r>
    </w:p>
  </w:footnote>
  <w:footnote w:id="5">
    <w:p w:rsidR="00E255C3" w:rsidP="00E255C3" w:rsidRDefault="00E255C3" w14:paraId="1AD648A3" w14:textId="77777777">
      <w:pPr>
        <w:pStyle w:val="FootnoteText"/>
      </w:pPr>
      <w:r>
        <w:rPr>
          <w:rStyle w:val="FootnoteReference"/>
        </w:rPr>
        <w:footnoteRef/>
      </w:r>
      <w:r>
        <w:t xml:space="preserve"> </w:t>
      </w:r>
      <w:hyperlink w:history="1" w:anchor=":~:text=In%20reality%2C%2080%25%20of%20EV,is%20parked%20during%20the%20workday" r:id="rId4">
        <w:r w:rsidRPr="009115A3">
          <w:rPr>
            <w:rStyle w:val="Hyperlink"/>
          </w:rPr>
          <w:t>https://www.forbes.com/wheels/news/jd-power-study-electric-vehicle-owners-prefer-dedicated-home-charging-stations/#:~:text=In%20reality%2C%2080%25%20of%20EV,is%20parked%20during%20the%20workday</w:t>
        </w:r>
      </w:hyperlink>
      <w:r w:rsidRPr="0045146F">
        <w:t>.</w:t>
      </w:r>
      <w:r>
        <w:tab/>
      </w:r>
    </w:p>
  </w:footnote>
  <w:footnote w:id="6">
    <w:p w:rsidR="00E255C3" w:rsidP="00E255C3" w:rsidRDefault="00E255C3" w14:paraId="29AD5AFA" w14:textId="77777777">
      <w:pPr>
        <w:pStyle w:val="FootnoteText"/>
      </w:pPr>
      <w:r>
        <w:rPr>
          <w:rStyle w:val="FootnoteReference"/>
        </w:rPr>
        <w:footnoteRef/>
      </w:r>
      <w:r>
        <w:t xml:space="preserve"> </w:t>
      </w:r>
      <w:hyperlink w:history="1" r:id="rId5">
        <w:r w:rsidRPr="009115A3">
          <w:rPr>
            <w:rStyle w:val="Hyperlink"/>
          </w:rPr>
          <w:t>https://nhts.ornl.gov/</w:t>
        </w:r>
      </w:hyperlink>
      <w:r>
        <w:tab/>
      </w:r>
    </w:p>
  </w:footnote>
  <w:footnote w:id="7">
    <w:p w:rsidR="00E255C3" w:rsidP="00E255C3" w:rsidRDefault="00E255C3" w14:paraId="7A87E06A" w14:textId="77777777">
      <w:pPr>
        <w:pStyle w:val="FootnoteText"/>
      </w:pPr>
      <w:r>
        <w:rPr>
          <w:rStyle w:val="FootnoteReference"/>
        </w:rPr>
        <w:footnoteRef/>
      </w:r>
      <w:r>
        <w:t xml:space="preserve"> Massachusetts 2023 Commercial Stretch code and Specialized Opt-in code DOER Final Draft 9-19-22 Redline: </w:t>
      </w:r>
      <w:hyperlink w:history="1" r:id="rId6">
        <w:r w:rsidRPr="005A2A24">
          <w:rPr>
            <w:rStyle w:val="Hyperlink"/>
            <w:szCs w:val="22"/>
          </w:rPr>
          <w:t>https://www.mass.gov/doc/commercial-and-other-stretch-energy-code-and-specialized-opt-in-code-language-redline/download</w:t>
        </w:r>
      </w:hyperlink>
      <w:r>
        <w:tab/>
      </w:r>
    </w:p>
  </w:footnote>
  <w:footnote w:id="8">
    <w:p w:rsidR="00E255C3" w:rsidP="00E255C3" w:rsidRDefault="00E255C3" w14:paraId="49B93A2B" w14:textId="77777777">
      <w:pPr>
        <w:pStyle w:val="FootnoteText"/>
      </w:pPr>
      <w:r>
        <w:rPr>
          <w:rStyle w:val="FootnoteReference"/>
        </w:rPr>
        <w:footnoteRef/>
      </w:r>
      <w:r>
        <w:t xml:space="preserve"> 2015 International Building Code (IBC), Chapter 3, Use and Occupancy Classification: </w:t>
      </w:r>
      <w:hyperlink w:history="1" r:id="rId7">
        <w:r w:rsidRPr="005A2A24">
          <w:rPr>
            <w:rStyle w:val="Hyperlink"/>
          </w:rPr>
          <w:t>https://codes.iccsafe.org/content/IBC2015P4/chapter-3-use-and-occupancy-classification</w:t>
        </w:r>
      </w:hyperlink>
      <w:r>
        <w:tab/>
      </w:r>
    </w:p>
  </w:footnote>
  <w:footnote w:id="9">
    <w:p w:rsidR="00E255C3" w:rsidP="00E255C3" w:rsidRDefault="00E255C3" w14:paraId="61F9609B" w14:textId="77777777">
      <w:pPr>
        <w:pStyle w:val="FootnoteText"/>
      </w:pPr>
      <w:r w:rsidRPr="00371051">
        <w:rPr>
          <w:rStyle w:val="FootnoteReference"/>
        </w:rPr>
        <w:footnoteRef/>
      </w:r>
      <w:r w:rsidRPr="00371051">
        <w:t xml:space="preserve"> From Table C405.13.1 of IMA 2023 Commercial Stretch Code</w:t>
      </w:r>
    </w:p>
  </w:footnote>
  <w:footnote w:id="10">
    <w:p w:rsidR="00E255C3" w:rsidP="00E255C3" w:rsidRDefault="00E255C3" w14:paraId="36FC041C" w14:textId="5227194D">
      <w:pPr>
        <w:pStyle w:val="FootnoteText"/>
      </w:pPr>
      <w:r>
        <w:rPr>
          <w:rStyle w:val="FootnoteReference"/>
        </w:rPr>
        <w:footnoteRef/>
      </w:r>
      <w:r>
        <w:t xml:space="preserve"> </w:t>
      </w:r>
      <w:r w:rsidRPr="007046E9">
        <w:t xml:space="preserve"> </w:t>
      </w:r>
      <w:hyperlink w:history="1" r:id="rId8">
        <w:r w:rsidRPr="00C429B5">
          <w:rPr>
            <w:rStyle w:val="Hyperlink"/>
          </w:rPr>
          <w:t>https://www.fema.gov/glossary/special-flood-hazard-area-sfha</w:t>
        </w:r>
      </w:hyperlink>
      <w:r w:rsidRPr="00D25832" w:rsidDel="00D2583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AA70F6" w:rsidR="007000FF" w:rsidP="00FA6CC9" w:rsidRDefault="0059032D" w14:paraId="1630A6B8" w14:textId="52398CA0">
    <w:pPr>
      <w:spacing w:before="200"/>
      <w:rPr>
        <w:rFonts w:ascii="Montserrat" w:hAnsi="Montserrat"/>
        <w:b/>
        <w:bCs/>
      </w:rPr>
    </w:pPr>
    <w:r w:rsidRPr="00AA70F6">
      <w:rPr>
        <w:rFonts w:ascii="Montserrat" w:hAnsi="Montserrat"/>
        <w:b/>
        <w:bCs/>
        <w:caps/>
        <w:noProof/>
        <w:color w:val="FDB517" w:themeColor="accent2"/>
        <w:spacing w:val="20"/>
        <w:sz w:val="24"/>
        <w:szCs w:val="24"/>
      </w:rPr>
      <w:drawing>
        <wp:anchor distT="0" distB="0" distL="114300" distR="114300" simplePos="0" relativeHeight="251658243" behindDoc="1" locked="0" layoutInCell="1" allowOverlap="1" wp14:anchorId="564CEDB1" wp14:editId="6047705F">
          <wp:simplePos x="0" y="0"/>
          <wp:positionH relativeFrom="page">
            <wp:posOffset>6858000</wp:posOffset>
          </wp:positionH>
          <wp:positionV relativeFrom="page">
            <wp:posOffset>320040</wp:posOffset>
          </wp:positionV>
          <wp:extent cx="603504" cy="795528"/>
          <wp:effectExtent l="0" t="0" r="6350" b="5080"/>
          <wp:wrapTight wrapText="bothSides">
            <wp:wrapPolygon edited="0">
              <wp:start x="0" y="0"/>
              <wp:lineTo x="0" y="21220"/>
              <wp:lineTo x="21145" y="21220"/>
              <wp:lineTo x="211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ommission_2C.tif"/>
                  <pic:cNvPicPr/>
                </pic:nvPicPr>
                <pic:blipFill>
                  <a:blip r:embed="rId1">
                    <a:extLst>
                      <a:ext uri="{28A0092B-C50C-407E-A947-70E740481C1C}">
                        <a14:useLocalDpi xmlns:a14="http://schemas.microsoft.com/office/drawing/2010/main" val="0"/>
                      </a:ext>
                    </a:extLst>
                  </a:blip>
                  <a:stretch>
                    <a:fillRect/>
                  </a:stretch>
                </pic:blipFill>
                <pic:spPr>
                  <a:xfrm>
                    <a:off x="0" y="0"/>
                    <a:ext cx="603504" cy="795528"/>
                  </a:xfrm>
                  <a:prstGeom prst="rect">
                    <a:avLst/>
                  </a:prstGeom>
                </pic:spPr>
              </pic:pic>
            </a:graphicData>
          </a:graphic>
          <wp14:sizeRelH relativeFrom="margin">
            <wp14:pctWidth>0</wp14:pctWidth>
          </wp14:sizeRelH>
          <wp14:sizeRelV relativeFrom="margin">
            <wp14:pctHeight>0</wp14:pctHeight>
          </wp14:sizeRelV>
        </wp:anchor>
      </w:drawing>
    </w:r>
    <w:r w:rsidRPr="00AA70F6">
      <w:rPr>
        <w:rFonts w:ascii="Montserrat" w:hAnsi="Montserrat"/>
        <w:b/>
        <w:bCs/>
        <w:caps/>
        <w:noProof/>
        <w:color w:val="FDB517" w:themeColor="accent2"/>
        <w:spacing w:val="20"/>
        <w:sz w:val="24"/>
        <w:szCs w:val="24"/>
      </w:rPr>
      <mc:AlternateContent>
        <mc:Choice Requires="wps">
          <w:drawing>
            <wp:anchor distT="0" distB="0" distL="114300" distR="114300" simplePos="0" relativeHeight="251658242" behindDoc="0" locked="0" layoutInCell="1" allowOverlap="1" wp14:anchorId="2FAEDAE2" wp14:editId="620FD8EE">
              <wp:simplePos x="0" y="0"/>
              <wp:positionH relativeFrom="margin">
                <wp:posOffset>0</wp:posOffset>
              </wp:positionH>
              <wp:positionV relativeFrom="line">
                <wp:align>top</wp:align>
              </wp:positionV>
              <wp:extent cx="640080" cy="0"/>
              <wp:effectExtent l="19050" t="19050" r="7620" b="190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0"/>
                      </a:xfrm>
                      <a:prstGeom prst="straightConnector1">
                        <a:avLst/>
                      </a:prstGeom>
                      <a:noFill/>
                      <a:ln w="38100">
                        <a:solidFill>
                          <a:schemeClr val="accent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42CF724B">
            <v:shapetype id="_x0000_t32" coordsize="21600,21600" o:oned="t" filled="f" o:spt="32" path="m,l21600,21600e" w14:anchorId="7792F489">
              <v:path fillok="f" arrowok="t" o:connecttype="none"/>
              <o:lock v:ext="edit" shapetype="t"/>
            </v:shapetype>
            <v:shape id="Straight Arrow Connector 48" style="position:absolute;margin-left:0;margin-top:0;width:50.4pt;height:0;flip:x;z-index:251658242;visibility:visible;mso-wrap-style:square;mso-width-percent:0;mso-height-percent:0;mso-wrap-distance-left:9pt;mso-wrap-distance-top:0;mso-wrap-distance-right:9pt;mso-wrap-distance-bottom:0;mso-position-horizontal:absolute;mso-position-horizontal-relative:margin;mso-position-vertical:top;mso-position-vertical-relative:line;mso-width-percent:0;mso-height-percent:0;mso-width-relative:page;mso-height-relative:page" o:spid="_x0000_s1026" strokecolor="#fdb517 [3205]"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">
              <w10:wrap anchorx="margin" anchory="line"/>
            </v:shape>
          </w:pict>
        </mc:Fallback>
      </mc:AlternateContent>
    </w:r>
    <w:r w:rsidRPr="00AA70F6" w:rsidR="00AA70F6">
      <w:rPr>
        <w:rFonts w:ascii="Montserrat" w:hAnsi="Montserrat"/>
        <w:b/>
        <w:bCs/>
        <w:noProof/>
        <w:sz w:val="24"/>
        <w:szCs w:val="24"/>
      </w:rPr>
      <w:t>DRAFT MODEL BYLAW</w:t>
    </w:r>
    <w:r w:rsidRPr="00AA70F6" w:rsidR="00FA6CC9">
      <w:rPr>
        <w:rFonts w:ascii="Montserrat" w:hAnsi="Montserrat"/>
        <w:b/>
        <w:bCs/>
        <w:noProof/>
      </w:rPr>
      <w:t xml:space="preserve"> </w:t>
    </w:r>
    <w:r w:rsidRPr="00AA70F6" w:rsidR="007000FF">
      <w:rPr>
        <w:rFonts w:ascii="Montserrat" w:hAnsi="Montserrat"/>
        <w:b/>
        <w:bCs/>
        <w:noProof/>
      </w:rPr>
      <w:drawing>
        <wp:anchor distT="0" distB="0" distL="114300" distR="114300" simplePos="0" relativeHeight="251658241" behindDoc="1" locked="0" layoutInCell="1" allowOverlap="1" wp14:anchorId="2AA39D24" wp14:editId="61D04525">
          <wp:simplePos x="0" y="0"/>
          <wp:positionH relativeFrom="page">
            <wp:posOffset>6858000</wp:posOffset>
          </wp:positionH>
          <wp:positionV relativeFrom="page">
            <wp:posOffset>320040</wp:posOffset>
          </wp:positionV>
          <wp:extent cx="603504" cy="795528"/>
          <wp:effectExtent l="0" t="0" r="6350" b="5080"/>
          <wp:wrapTight wrapText="bothSides">
            <wp:wrapPolygon edited="0">
              <wp:start x="0" y="0"/>
              <wp:lineTo x="0" y="21220"/>
              <wp:lineTo x="21145" y="21220"/>
              <wp:lineTo x="211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ommission_2C.tif"/>
                  <pic:cNvPicPr/>
                </pic:nvPicPr>
                <pic:blipFill>
                  <a:blip r:embed="rId1">
                    <a:extLst>
                      <a:ext uri="{28A0092B-C50C-407E-A947-70E740481C1C}">
                        <a14:useLocalDpi xmlns:a14="http://schemas.microsoft.com/office/drawing/2010/main" val="0"/>
                      </a:ext>
                    </a:extLst>
                  </a:blip>
                  <a:stretch>
                    <a:fillRect/>
                  </a:stretch>
                </pic:blipFill>
                <pic:spPr>
                  <a:xfrm>
                    <a:off x="0" y="0"/>
                    <a:ext cx="603504" cy="7955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000FF" w:rsidP="00474CE8" w:rsidRDefault="007000FF" w14:paraId="4903A443" w14:textId="77777777">
    <w:pPr>
      <w:pStyle w:val="NoSpacing"/>
    </w:pPr>
    <w:r w:rsidRPr="00867E0E">
      <w:rPr>
        <w:rFonts w:cstheme="minorHAnsi"/>
        <w:noProof/>
        <w:color w:val="FF0000"/>
        <w:sz w:val="18"/>
        <w:szCs w:val="18"/>
      </w:rPr>
      <w:drawing>
        <wp:anchor distT="0" distB="0" distL="114300" distR="114300" simplePos="0" relativeHeight="251658240" behindDoc="1" locked="0" layoutInCell="1" allowOverlap="1" wp14:anchorId="0DF978D5" wp14:editId="369D356F">
          <wp:simplePos x="0" y="0"/>
          <wp:positionH relativeFrom="page">
            <wp:posOffset>6473825</wp:posOffset>
          </wp:positionH>
          <wp:positionV relativeFrom="page">
            <wp:posOffset>393065</wp:posOffset>
          </wp:positionV>
          <wp:extent cx="813816" cy="1060704"/>
          <wp:effectExtent l="0" t="0" r="5715" b="6350"/>
          <wp:wrapTight wrapText="bothSides">
            <wp:wrapPolygon edited="1">
              <wp:start x="-5473" y="0"/>
              <wp:lineTo x="-5649" y="21340"/>
              <wp:lineTo x="0" y="21330"/>
              <wp:lineTo x="21163" y="21330"/>
              <wp:lineTo x="21163" y="0"/>
              <wp:lineTo x="-5473"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Commission_Black.tif"/>
                  <pic:cNvPicPr/>
                </pic:nvPicPr>
                <pic:blipFill>
                  <a:blip r:embed="rId1">
                    <a:extLst>
                      <a:ext uri="{28A0092B-C50C-407E-A947-70E740481C1C}">
                        <a14:useLocalDpi xmlns:a14="http://schemas.microsoft.com/office/drawing/2010/main" val="0"/>
                      </a:ext>
                    </a:extLst>
                  </a:blip>
                  <a:stretch>
                    <a:fillRect/>
                  </a:stretch>
                </pic:blipFill>
                <pic:spPr>
                  <a:xfrm>
                    <a:off x="0" y="0"/>
                    <a:ext cx="813816" cy="10607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76BB0"/>
    <w:multiLevelType w:val="hybridMultilevel"/>
    <w:tmpl w:val="3E76B008"/>
    <w:lvl w:ilvl="0" w:tplc="9EACD99C">
      <w:start w:val="1"/>
      <w:numFmt w:val="bullet"/>
      <w:pStyle w:val="ListParagraph"/>
      <w:lvlText w:val=""/>
      <w:lvlJc w:val="left"/>
      <w:pPr>
        <w:ind w:left="360" w:hanging="360"/>
      </w:pPr>
      <w:rPr>
        <w:rFonts w:hint="default" w:ascii="Symbol" w:hAnsi="Symbol"/>
        <w:b w:val="0"/>
        <w:i w:val="0"/>
        <w:color w:val="auto"/>
        <w:sz w:val="22"/>
      </w:rPr>
    </w:lvl>
    <w:lvl w:ilvl="1" w:tplc="3A9490A0">
      <w:start w:val="1"/>
      <w:numFmt w:val="bullet"/>
      <w:lvlText w:val="■"/>
      <w:lvlJc w:val="left"/>
      <w:pPr>
        <w:ind w:left="1080" w:hanging="360"/>
      </w:pPr>
      <w:rPr>
        <w:rFonts w:hint="default" w:ascii="Montserrat" w:hAnsi="Montserrat"/>
        <w:b w:val="0"/>
        <w:i w:val="0"/>
        <w:color w:val="C9DEB5"/>
        <w:sz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D95FFA"/>
    <w:multiLevelType w:val="hybridMultilevel"/>
    <w:tmpl w:val="A85A038E"/>
    <w:lvl w:ilvl="0" w:tplc="2E68B5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E3980"/>
    <w:multiLevelType w:val="hybridMultilevel"/>
    <w:tmpl w:val="D65AE94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440" w:hanging="360"/>
      </w:pPr>
      <w:rPr>
        <w:rFonts w:hint="default" w:ascii="Wingdings" w:hAnsi="Wingdings"/>
      </w:rPr>
    </w:lvl>
    <w:lvl w:ilvl="3" w:tplc="04090001" w:tentative="1">
      <w:start w:val="1"/>
      <w:numFmt w:val="bullet"/>
      <w:lvlText w:val=""/>
      <w:lvlJc w:val="left"/>
      <w:pPr>
        <w:ind w:left="2160" w:hanging="360"/>
      </w:pPr>
      <w:rPr>
        <w:rFonts w:hint="default" w:ascii="Symbol" w:hAnsi="Symbol"/>
      </w:rPr>
    </w:lvl>
    <w:lvl w:ilvl="4" w:tplc="04090003" w:tentative="1">
      <w:start w:val="1"/>
      <w:numFmt w:val="bullet"/>
      <w:lvlText w:val="o"/>
      <w:lvlJc w:val="left"/>
      <w:pPr>
        <w:ind w:left="2880" w:hanging="360"/>
      </w:pPr>
      <w:rPr>
        <w:rFonts w:hint="default" w:ascii="Courier New" w:hAnsi="Courier New" w:cs="Courier New"/>
      </w:rPr>
    </w:lvl>
    <w:lvl w:ilvl="5" w:tplc="04090005" w:tentative="1">
      <w:start w:val="1"/>
      <w:numFmt w:val="bullet"/>
      <w:lvlText w:val=""/>
      <w:lvlJc w:val="left"/>
      <w:pPr>
        <w:ind w:left="3600" w:hanging="360"/>
      </w:pPr>
      <w:rPr>
        <w:rFonts w:hint="default" w:ascii="Wingdings" w:hAnsi="Wingdings"/>
      </w:rPr>
    </w:lvl>
    <w:lvl w:ilvl="6" w:tplc="04090001" w:tentative="1">
      <w:start w:val="1"/>
      <w:numFmt w:val="bullet"/>
      <w:lvlText w:val=""/>
      <w:lvlJc w:val="left"/>
      <w:pPr>
        <w:ind w:left="4320" w:hanging="360"/>
      </w:pPr>
      <w:rPr>
        <w:rFonts w:hint="default" w:ascii="Symbol" w:hAnsi="Symbol"/>
      </w:rPr>
    </w:lvl>
    <w:lvl w:ilvl="7" w:tplc="04090003" w:tentative="1">
      <w:start w:val="1"/>
      <w:numFmt w:val="bullet"/>
      <w:lvlText w:val="o"/>
      <w:lvlJc w:val="left"/>
      <w:pPr>
        <w:ind w:left="5040" w:hanging="360"/>
      </w:pPr>
      <w:rPr>
        <w:rFonts w:hint="default" w:ascii="Courier New" w:hAnsi="Courier New" w:cs="Courier New"/>
      </w:rPr>
    </w:lvl>
    <w:lvl w:ilvl="8" w:tplc="04090005" w:tentative="1">
      <w:start w:val="1"/>
      <w:numFmt w:val="bullet"/>
      <w:lvlText w:val=""/>
      <w:lvlJc w:val="left"/>
      <w:pPr>
        <w:ind w:left="5760" w:hanging="360"/>
      </w:pPr>
      <w:rPr>
        <w:rFonts w:hint="default" w:ascii="Wingdings" w:hAnsi="Wingdings"/>
      </w:rPr>
    </w:lvl>
  </w:abstractNum>
  <w:abstractNum w:abstractNumId="3" w15:restartNumberingAfterBreak="0">
    <w:nsid w:val="1FB22BB2"/>
    <w:multiLevelType w:val="hybridMultilevel"/>
    <w:tmpl w:val="E1F40E8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0522241"/>
    <w:multiLevelType w:val="hybridMultilevel"/>
    <w:tmpl w:val="9EEC6EBC"/>
    <w:lvl w:ilvl="0" w:tplc="FFFFFFFF">
      <w:start w:val="1"/>
      <w:numFmt w:val="bullet"/>
      <w:lvlText w:val=""/>
      <w:lvlJc w:val="left"/>
      <w:pPr>
        <w:ind w:left="360" w:hanging="360"/>
      </w:pPr>
      <w:rPr>
        <w:rFonts w:hint="default" w:ascii="Symbol" w:hAnsi="Symbol"/>
        <w:b w:val="0"/>
        <w:i w:val="0"/>
        <w:color w:val="auto"/>
        <w:sz w:val="22"/>
      </w:rPr>
    </w:lvl>
    <w:lvl w:ilvl="1" w:tplc="04090003">
      <w:start w:val="1"/>
      <w:numFmt w:val="bullet"/>
      <w:lvlText w:val="o"/>
      <w:lvlJc w:val="left"/>
      <w:pPr>
        <w:ind w:left="1080" w:hanging="360"/>
      </w:pPr>
      <w:rPr>
        <w:rFonts w:hint="default" w:ascii="Courier New" w:hAnsi="Courier New" w:cs="Courier New"/>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553190F"/>
    <w:multiLevelType w:val="hybridMultilevel"/>
    <w:tmpl w:val="D7E646F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6" w15:restartNumberingAfterBreak="0">
    <w:nsid w:val="46E03349"/>
    <w:multiLevelType w:val="hybridMultilevel"/>
    <w:tmpl w:val="660EC066"/>
    <w:lvl w:ilvl="0" w:tplc="D32CC498">
      <w:numFmt w:val="bullet"/>
      <w:lvlText w:val="•"/>
      <w:lvlJc w:val="left"/>
      <w:pPr>
        <w:ind w:left="720" w:hanging="360"/>
      </w:pPr>
      <w:rPr>
        <w:rFonts w:hint="default" w:ascii="Calibri" w:hAnsi="Calibri" w:cs="Calibri" w:eastAsiaTheme="minorEastAsia"/>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7" w15:restartNumberingAfterBreak="0">
    <w:nsid w:val="5BD95426"/>
    <w:multiLevelType w:val="hybridMultilevel"/>
    <w:tmpl w:val="BB82DEEA"/>
    <w:lvl w:ilvl="0" w:tplc="52029174">
      <w:start w:val="1"/>
      <w:numFmt w:val="bullet"/>
      <w:lvlText w:val=""/>
      <w:lvlJc w:val="left"/>
      <w:pPr>
        <w:ind w:left="720" w:hanging="360"/>
      </w:pPr>
      <w:rPr>
        <w:rFonts w:hint="default" w:ascii="Symbol" w:hAnsi="Symbol"/>
        <w:color w:val="auto"/>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080" w:hanging="360"/>
      </w:pPr>
      <w:rPr>
        <w:rFonts w:hint="default" w:ascii="Wingdings" w:hAnsi="Wingdings"/>
      </w:rPr>
    </w:lvl>
    <w:lvl w:ilvl="3" w:tplc="04090001">
      <w:start w:val="1"/>
      <w:numFmt w:val="bullet"/>
      <w:lvlText w:val=""/>
      <w:lvlJc w:val="left"/>
      <w:pPr>
        <w:ind w:left="1800" w:hanging="360"/>
      </w:pPr>
      <w:rPr>
        <w:rFonts w:hint="default" w:ascii="Symbol" w:hAnsi="Symbol"/>
      </w:rPr>
    </w:lvl>
    <w:lvl w:ilvl="4" w:tplc="04090003" w:tentative="1">
      <w:start w:val="1"/>
      <w:numFmt w:val="bullet"/>
      <w:lvlText w:val="o"/>
      <w:lvlJc w:val="left"/>
      <w:pPr>
        <w:ind w:left="2520" w:hanging="360"/>
      </w:pPr>
      <w:rPr>
        <w:rFonts w:hint="default" w:ascii="Courier New" w:hAnsi="Courier New" w:cs="Courier New"/>
      </w:rPr>
    </w:lvl>
    <w:lvl w:ilvl="5" w:tplc="04090005" w:tentative="1">
      <w:start w:val="1"/>
      <w:numFmt w:val="bullet"/>
      <w:lvlText w:val=""/>
      <w:lvlJc w:val="left"/>
      <w:pPr>
        <w:ind w:left="3240" w:hanging="360"/>
      </w:pPr>
      <w:rPr>
        <w:rFonts w:hint="default" w:ascii="Wingdings" w:hAnsi="Wingdings"/>
      </w:rPr>
    </w:lvl>
    <w:lvl w:ilvl="6" w:tplc="04090001" w:tentative="1">
      <w:start w:val="1"/>
      <w:numFmt w:val="bullet"/>
      <w:lvlText w:val=""/>
      <w:lvlJc w:val="left"/>
      <w:pPr>
        <w:ind w:left="3960" w:hanging="360"/>
      </w:pPr>
      <w:rPr>
        <w:rFonts w:hint="default" w:ascii="Symbol" w:hAnsi="Symbol"/>
      </w:rPr>
    </w:lvl>
    <w:lvl w:ilvl="7" w:tplc="04090003" w:tentative="1">
      <w:start w:val="1"/>
      <w:numFmt w:val="bullet"/>
      <w:lvlText w:val="o"/>
      <w:lvlJc w:val="left"/>
      <w:pPr>
        <w:ind w:left="4680" w:hanging="360"/>
      </w:pPr>
      <w:rPr>
        <w:rFonts w:hint="default" w:ascii="Courier New" w:hAnsi="Courier New" w:cs="Courier New"/>
      </w:rPr>
    </w:lvl>
    <w:lvl w:ilvl="8" w:tplc="04090005" w:tentative="1">
      <w:start w:val="1"/>
      <w:numFmt w:val="bullet"/>
      <w:lvlText w:val=""/>
      <w:lvlJc w:val="left"/>
      <w:pPr>
        <w:ind w:left="5400" w:hanging="360"/>
      </w:pPr>
      <w:rPr>
        <w:rFonts w:hint="default" w:ascii="Wingdings" w:hAnsi="Wingdings"/>
      </w:rPr>
    </w:lvl>
  </w:abstractNum>
  <w:abstractNum w:abstractNumId="8" w15:restartNumberingAfterBreak="0">
    <w:nsid w:val="600A2119"/>
    <w:multiLevelType w:val="hybridMultilevel"/>
    <w:tmpl w:val="0B7AA9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77AD089B"/>
    <w:multiLevelType w:val="hybridMultilevel"/>
    <w:tmpl w:val="8486A73E"/>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7E847356"/>
    <w:multiLevelType w:val="multilevel"/>
    <w:tmpl w:val="2E3AE5C4"/>
    <w:lvl w:ilvl="0">
      <w:start w:val="1"/>
      <w:numFmt w:val="decimal"/>
      <w:pStyle w:val="Heading1"/>
      <w:lvlText w:val="%1."/>
      <w:lvlJc w:val="left"/>
      <w:pPr>
        <w:ind w:left="360" w:hanging="360"/>
      </w:pPr>
    </w:lvl>
    <w:lvl w:ilvl="1">
      <w:start w:val="1"/>
      <w:numFmt w:val="decimal"/>
      <w:pStyle w:val="Style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83414009">
    <w:abstractNumId w:val="0"/>
  </w:num>
  <w:num w:numId="2" w16cid:durableId="326400617">
    <w:abstractNumId w:val="6"/>
  </w:num>
  <w:num w:numId="3" w16cid:durableId="1630672080">
    <w:abstractNumId w:val="7"/>
  </w:num>
  <w:num w:numId="4" w16cid:durableId="534082298">
    <w:abstractNumId w:val="10"/>
  </w:num>
  <w:num w:numId="5" w16cid:durableId="742875431">
    <w:abstractNumId w:val="5"/>
  </w:num>
  <w:num w:numId="6" w16cid:durableId="1600680771">
    <w:abstractNumId w:val="9"/>
  </w:num>
  <w:num w:numId="7" w16cid:durableId="546642635">
    <w:abstractNumId w:val="2"/>
  </w:num>
  <w:num w:numId="8" w16cid:durableId="163521663">
    <w:abstractNumId w:val="8"/>
  </w:num>
  <w:num w:numId="9" w16cid:durableId="1554468192">
    <w:abstractNumId w:val="3"/>
  </w:num>
  <w:num w:numId="10" w16cid:durableId="879171039">
    <w:abstractNumId w:val="1"/>
  </w:num>
  <w:num w:numId="11" w16cid:durableId="1970091430">
    <w:abstractNumId w:val="10"/>
  </w:num>
  <w:num w:numId="12" w16cid:durableId="1357266305">
    <w:abstractNumId w:val="10"/>
  </w:num>
  <w:num w:numId="13" w16cid:durableId="16335549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5026768">
    <w:abstractNumId w:val="4"/>
  </w:num>
  <w:num w:numId="15" w16cid:durableId="868644832">
    <w:abstractNumId w:val="0"/>
  </w:num>
  <w:num w:numId="16" w16cid:durableId="768164886">
    <w:abstractNumId w:val="0"/>
  </w:num>
  <w:numIdMacAtCleanup w:val="1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80"/>
  <w:embedTrueTypeFonts/>
  <w:embedSystemFont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EC6"/>
    <w:rsid w:val="00000275"/>
    <w:rsid w:val="00001D5F"/>
    <w:rsid w:val="000029EC"/>
    <w:rsid w:val="0000375E"/>
    <w:rsid w:val="00003B84"/>
    <w:rsid w:val="000052C6"/>
    <w:rsid w:val="0000587D"/>
    <w:rsid w:val="00005D7E"/>
    <w:rsid w:val="000060FE"/>
    <w:rsid w:val="0000655E"/>
    <w:rsid w:val="0000668B"/>
    <w:rsid w:val="00006C37"/>
    <w:rsid w:val="000102B3"/>
    <w:rsid w:val="0001086B"/>
    <w:rsid w:val="00012278"/>
    <w:rsid w:val="000128AE"/>
    <w:rsid w:val="00012D55"/>
    <w:rsid w:val="00013555"/>
    <w:rsid w:val="00013D36"/>
    <w:rsid w:val="00014131"/>
    <w:rsid w:val="000143A4"/>
    <w:rsid w:val="000147A7"/>
    <w:rsid w:val="00014805"/>
    <w:rsid w:val="0001493D"/>
    <w:rsid w:val="0001553E"/>
    <w:rsid w:val="00015A45"/>
    <w:rsid w:val="00016027"/>
    <w:rsid w:val="00016123"/>
    <w:rsid w:val="000168F8"/>
    <w:rsid w:val="00016E9F"/>
    <w:rsid w:val="0001740C"/>
    <w:rsid w:val="00017453"/>
    <w:rsid w:val="0001759E"/>
    <w:rsid w:val="00017DF4"/>
    <w:rsid w:val="0002038F"/>
    <w:rsid w:val="00020FEB"/>
    <w:rsid w:val="00021280"/>
    <w:rsid w:val="000222DD"/>
    <w:rsid w:val="00022991"/>
    <w:rsid w:val="00022ED4"/>
    <w:rsid w:val="000235A6"/>
    <w:rsid w:val="00023D34"/>
    <w:rsid w:val="00023ECB"/>
    <w:rsid w:val="0002430F"/>
    <w:rsid w:val="00024B5A"/>
    <w:rsid w:val="00025091"/>
    <w:rsid w:val="000257AD"/>
    <w:rsid w:val="00025A49"/>
    <w:rsid w:val="00025E6E"/>
    <w:rsid w:val="00026386"/>
    <w:rsid w:val="000304DC"/>
    <w:rsid w:val="000306D2"/>
    <w:rsid w:val="00030F39"/>
    <w:rsid w:val="0003138B"/>
    <w:rsid w:val="00031935"/>
    <w:rsid w:val="00031A05"/>
    <w:rsid w:val="0003260C"/>
    <w:rsid w:val="0003265F"/>
    <w:rsid w:val="000328DD"/>
    <w:rsid w:val="000328E7"/>
    <w:rsid w:val="0003363B"/>
    <w:rsid w:val="00033824"/>
    <w:rsid w:val="00033FD8"/>
    <w:rsid w:val="0003560F"/>
    <w:rsid w:val="00035624"/>
    <w:rsid w:val="000365EF"/>
    <w:rsid w:val="00037327"/>
    <w:rsid w:val="00037C70"/>
    <w:rsid w:val="0004068F"/>
    <w:rsid w:val="00040B97"/>
    <w:rsid w:val="00040FC0"/>
    <w:rsid w:val="000410F0"/>
    <w:rsid w:val="00041201"/>
    <w:rsid w:val="00041552"/>
    <w:rsid w:val="000416E5"/>
    <w:rsid w:val="000419AF"/>
    <w:rsid w:val="00041D7E"/>
    <w:rsid w:val="00042803"/>
    <w:rsid w:val="000433C6"/>
    <w:rsid w:val="0004423B"/>
    <w:rsid w:val="00044693"/>
    <w:rsid w:val="000449C2"/>
    <w:rsid w:val="00045130"/>
    <w:rsid w:val="000451C5"/>
    <w:rsid w:val="00045495"/>
    <w:rsid w:val="000458EF"/>
    <w:rsid w:val="00045D1E"/>
    <w:rsid w:val="000465D7"/>
    <w:rsid w:val="00046A70"/>
    <w:rsid w:val="00046B1D"/>
    <w:rsid w:val="00047200"/>
    <w:rsid w:val="000472AA"/>
    <w:rsid w:val="000472FD"/>
    <w:rsid w:val="00050BAC"/>
    <w:rsid w:val="00051243"/>
    <w:rsid w:val="000512A0"/>
    <w:rsid w:val="0005218A"/>
    <w:rsid w:val="00052635"/>
    <w:rsid w:val="000528FF"/>
    <w:rsid w:val="00053137"/>
    <w:rsid w:val="00053550"/>
    <w:rsid w:val="000537CE"/>
    <w:rsid w:val="00053899"/>
    <w:rsid w:val="00053A21"/>
    <w:rsid w:val="00054447"/>
    <w:rsid w:val="00054777"/>
    <w:rsid w:val="00054A72"/>
    <w:rsid w:val="00054AE3"/>
    <w:rsid w:val="00054D69"/>
    <w:rsid w:val="00055140"/>
    <w:rsid w:val="0005554F"/>
    <w:rsid w:val="0005575A"/>
    <w:rsid w:val="00055BE4"/>
    <w:rsid w:val="00056515"/>
    <w:rsid w:val="000566CE"/>
    <w:rsid w:val="00056FDC"/>
    <w:rsid w:val="000571AB"/>
    <w:rsid w:val="00057647"/>
    <w:rsid w:val="00057C5D"/>
    <w:rsid w:val="00057CA6"/>
    <w:rsid w:val="00057F22"/>
    <w:rsid w:val="0006034F"/>
    <w:rsid w:val="000615AA"/>
    <w:rsid w:val="00062AEF"/>
    <w:rsid w:val="00062FE3"/>
    <w:rsid w:val="00063329"/>
    <w:rsid w:val="000636DD"/>
    <w:rsid w:val="000638F9"/>
    <w:rsid w:val="000647AA"/>
    <w:rsid w:val="000648D9"/>
    <w:rsid w:val="0006494A"/>
    <w:rsid w:val="000649A4"/>
    <w:rsid w:val="000649B6"/>
    <w:rsid w:val="00064D2C"/>
    <w:rsid w:val="00064EF3"/>
    <w:rsid w:val="00065B78"/>
    <w:rsid w:val="00065BC4"/>
    <w:rsid w:val="00065ED5"/>
    <w:rsid w:val="00066C40"/>
    <w:rsid w:val="0006713F"/>
    <w:rsid w:val="0006778C"/>
    <w:rsid w:val="000678ED"/>
    <w:rsid w:val="00067D16"/>
    <w:rsid w:val="00067E54"/>
    <w:rsid w:val="000711AB"/>
    <w:rsid w:val="000712FF"/>
    <w:rsid w:val="0007172E"/>
    <w:rsid w:val="000717AF"/>
    <w:rsid w:val="00071E1D"/>
    <w:rsid w:val="0007253F"/>
    <w:rsid w:val="00072B8D"/>
    <w:rsid w:val="00072D26"/>
    <w:rsid w:val="00072FD1"/>
    <w:rsid w:val="00073070"/>
    <w:rsid w:val="000736C7"/>
    <w:rsid w:val="00073998"/>
    <w:rsid w:val="0007442F"/>
    <w:rsid w:val="000746F1"/>
    <w:rsid w:val="000747FB"/>
    <w:rsid w:val="00075180"/>
    <w:rsid w:val="000756E4"/>
    <w:rsid w:val="000765DE"/>
    <w:rsid w:val="000767F0"/>
    <w:rsid w:val="00076807"/>
    <w:rsid w:val="00076820"/>
    <w:rsid w:val="00076CA7"/>
    <w:rsid w:val="00076E3E"/>
    <w:rsid w:val="00077067"/>
    <w:rsid w:val="00077124"/>
    <w:rsid w:val="0007778D"/>
    <w:rsid w:val="00077945"/>
    <w:rsid w:val="00077EAB"/>
    <w:rsid w:val="00080312"/>
    <w:rsid w:val="00080347"/>
    <w:rsid w:val="00080665"/>
    <w:rsid w:val="00080957"/>
    <w:rsid w:val="00080F0A"/>
    <w:rsid w:val="000814C3"/>
    <w:rsid w:val="00081AAB"/>
    <w:rsid w:val="0008221D"/>
    <w:rsid w:val="00082425"/>
    <w:rsid w:val="0008272C"/>
    <w:rsid w:val="000831DC"/>
    <w:rsid w:val="000837B8"/>
    <w:rsid w:val="00083B46"/>
    <w:rsid w:val="00083D3F"/>
    <w:rsid w:val="00083F05"/>
    <w:rsid w:val="000846FF"/>
    <w:rsid w:val="00084820"/>
    <w:rsid w:val="00084949"/>
    <w:rsid w:val="00084EBE"/>
    <w:rsid w:val="00085035"/>
    <w:rsid w:val="0008551A"/>
    <w:rsid w:val="00085C93"/>
    <w:rsid w:val="00086E2F"/>
    <w:rsid w:val="000872A6"/>
    <w:rsid w:val="000877EA"/>
    <w:rsid w:val="000905DC"/>
    <w:rsid w:val="00090CAD"/>
    <w:rsid w:val="00091692"/>
    <w:rsid w:val="00091CC5"/>
    <w:rsid w:val="00091EF0"/>
    <w:rsid w:val="00092297"/>
    <w:rsid w:val="0009284E"/>
    <w:rsid w:val="00092BC0"/>
    <w:rsid w:val="00092EFA"/>
    <w:rsid w:val="00093768"/>
    <w:rsid w:val="00093880"/>
    <w:rsid w:val="00093BD2"/>
    <w:rsid w:val="0009418C"/>
    <w:rsid w:val="000946DD"/>
    <w:rsid w:val="00094930"/>
    <w:rsid w:val="000958D4"/>
    <w:rsid w:val="00095EDF"/>
    <w:rsid w:val="00096219"/>
    <w:rsid w:val="00096423"/>
    <w:rsid w:val="00096587"/>
    <w:rsid w:val="0009683A"/>
    <w:rsid w:val="00096944"/>
    <w:rsid w:val="0009788F"/>
    <w:rsid w:val="00097AE1"/>
    <w:rsid w:val="00097D4C"/>
    <w:rsid w:val="00097D7A"/>
    <w:rsid w:val="000A1CF8"/>
    <w:rsid w:val="000A2059"/>
    <w:rsid w:val="000A25F9"/>
    <w:rsid w:val="000A333B"/>
    <w:rsid w:val="000A3570"/>
    <w:rsid w:val="000A37F3"/>
    <w:rsid w:val="000A3C98"/>
    <w:rsid w:val="000A41BF"/>
    <w:rsid w:val="000A4329"/>
    <w:rsid w:val="000A4625"/>
    <w:rsid w:val="000A47B4"/>
    <w:rsid w:val="000A55CA"/>
    <w:rsid w:val="000A5698"/>
    <w:rsid w:val="000A5C8A"/>
    <w:rsid w:val="000A6253"/>
    <w:rsid w:val="000A640E"/>
    <w:rsid w:val="000A6420"/>
    <w:rsid w:val="000A6812"/>
    <w:rsid w:val="000A6D18"/>
    <w:rsid w:val="000A7267"/>
    <w:rsid w:val="000B0900"/>
    <w:rsid w:val="000B1101"/>
    <w:rsid w:val="000B1846"/>
    <w:rsid w:val="000B1A10"/>
    <w:rsid w:val="000B1E00"/>
    <w:rsid w:val="000B20EC"/>
    <w:rsid w:val="000B21BD"/>
    <w:rsid w:val="000B2361"/>
    <w:rsid w:val="000B27A6"/>
    <w:rsid w:val="000B294E"/>
    <w:rsid w:val="000B2F11"/>
    <w:rsid w:val="000B3BDD"/>
    <w:rsid w:val="000B489A"/>
    <w:rsid w:val="000B499D"/>
    <w:rsid w:val="000B4A5B"/>
    <w:rsid w:val="000B52A8"/>
    <w:rsid w:val="000B5382"/>
    <w:rsid w:val="000B545C"/>
    <w:rsid w:val="000B60B3"/>
    <w:rsid w:val="000B7075"/>
    <w:rsid w:val="000B70D5"/>
    <w:rsid w:val="000B7201"/>
    <w:rsid w:val="000B7254"/>
    <w:rsid w:val="000B7AB3"/>
    <w:rsid w:val="000B7AB7"/>
    <w:rsid w:val="000B7DD7"/>
    <w:rsid w:val="000C090E"/>
    <w:rsid w:val="000C09A9"/>
    <w:rsid w:val="000C0DD6"/>
    <w:rsid w:val="000C1BD4"/>
    <w:rsid w:val="000C1D26"/>
    <w:rsid w:val="000C1DC6"/>
    <w:rsid w:val="000C415F"/>
    <w:rsid w:val="000C4A27"/>
    <w:rsid w:val="000C4D76"/>
    <w:rsid w:val="000C50A1"/>
    <w:rsid w:val="000C5305"/>
    <w:rsid w:val="000C591F"/>
    <w:rsid w:val="000C59AC"/>
    <w:rsid w:val="000C5CA8"/>
    <w:rsid w:val="000C5F0F"/>
    <w:rsid w:val="000C5F70"/>
    <w:rsid w:val="000C689F"/>
    <w:rsid w:val="000C7456"/>
    <w:rsid w:val="000C7A91"/>
    <w:rsid w:val="000D04F5"/>
    <w:rsid w:val="000D0576"/>
    <w:rsid w:val="000D0E32"/>
    <w:rsid w:val="000D11A1"/>
    <w:rsid w:val="000D11B7"/>
    <w:rsid w:val="000D1E46"/>
    <w:rsid w:val="000D1E78"/>
    <w:rsid w:val="000D1EE0"/>
    <w:rsid w:val="000D2032"/>
    <w:rsid w:val="000D24C3"/>
    <w:rsid w:val="000D29EF"/>
    <w:rsid w:val="000D2F15"/>
    <w:rsid w:val="000D3180"/>
    <w:rsid w:val="000D332B"/>
    <w:rsid w:val="000D4247"/>
    <w:rsid w:val="000D43E5"/>
    <w:rsid w:val="000D464D"/>
    <w:rsid w:val="000D4A72"/>
    <w:rsid w:val="000D4B62"/>
    <w:rsid w:val="000D57A4"/>
    <w:rsid w:val="000D5F6C"/>
    <w:rsid w:val="000D61BE"/>
    <w:rsid w:val="000D63A7"/>
    <w:rsid w:val="000D65CA"/>
    <w:rsid w:val="000D670A"/>
    <w:rsid w:val="000D726B"/>
    <w:rsid w:val="000D7437"/>
    <w:rsid w:val="000D7791"/>
    <w:rsid w:val="000D794D"/>
    <w:rsid w:val="000D7BC9"/>
    <w:rsid w:val="000D7C09"/>
    <w:rsid w:val="000E0F86"/>
    <w:rsid w:val="000E15B2"/>
    <w:rsid w:val="000E15EB"/>
    <w:rsid w:val="000E25A6"/>
    <w:rsid w:val="000E276C"/>
    <w:rsid w:val="000E280A"/>
    <w:rsid w:val="000E35DC"/>
    <w:rsid w:val="000E41B1"/>
    <w:rsid w:val="000E433A"/>
    <w:rsid w:val="000E44B7"/>
    <w:rsid w:val="000E5374"/>
    <w:rsid w:val="000E5EED"/>
    <w:rsid w:val="000E61A5"/>
    <w:rsid w:val="000E6562"/>
    <w:rsid w:val="000E663D"/>
    <w:rsid w:val="000E6F23"/>
    <w:rsid w:val="000E6FEE"/>
    <w:rsid w:val="000E738D"/>
    <w:rsid w:val="000E7EDF"/>
    <w:rsid w:val="000F03B9"/>
    <w:rsid w:val="000F0919"/>
    <w:rsid w:val="000F152D"/>
    <w:rsid w:val="000F1689"/>
    <w:rsid w:val="000F1EAE"/>
    <w:rsid w:val="000F1EEE"/>
    <w:rsid w:val="000F2146"/>
    <w:rsid w:val="000F235D"/>
    <w:rsid w:val="000F2EC0"/>
    <w:rsid w:val="000F2FAB"/>
    <w:rsid w:val="000F30CC"/>
    <w:rsid w:val="000F358C"/>
    <w:rsid w:val="000F386F"/>
    <w:rsid w:val="000F3B94"/>
    <w:rsid w:val="000F3E14"/>
    <w:rsid w:val="000F44A7"/>
    <w:rsid w:val="000F44E6"/>
    <w:rsid w:val="000F482C"/>
    <w:rsid w:val="000F4CE4"/>
    <w:rsid w:val="000F5752"/>
    <w:rsid w:val="000F5810"/>
    <w:rsid w:val="000F5B2D"/>
    <w:rsid w:val="000F63AF"/>
    <w:rsid w:val="000F6506"/>
    <w:rsid w:val="000F662F"/>
    <w:rsid w:val="000F6B40"/>
    <w:rsid w:val="000F6CFB"/>
    <w:rsid w:val="000F708B"/>
    <w:rsid w:val="000F776D"/>
    <w:rsid w:val="000F7C47"/>
    <w:rsid w:val="000F7E86"/>
    <w:rsid w:val="001000DB"/>
    <w:rsid w:val="001006E5"/>
    <w:rsid w:val="00100D70"/>
    <w:rsid w:val="0010108D"/>
    <w:rsid w:val="00102D40"/>
    <w:rsid w:val="00102E0D"/>
    <w:rsid w:val="00102E1B"/>
    <w:rsid w:val="001031D7"/>
    <w:rsid w:val="00103339"/>
    <w:rsid w:val="00103513"/>
    <w:rsid w:val="00103518"/>
    <w:rsid w:val="00103D46"/>
    <w:rsid w:val="00103EA8"/>
    <w:rsid w:val="001042DF"/>
    <w:rsid w:val="0010488B"/>
    <w:rsid w:val="00104B67"/>
    <w:rsid w:val="00105124"/>
    <w:rsid w:val="0010558E"/>
    <w:rsid w:val="00105650"/>
    <w:rsid w:val="00105A1A"/>
    <w:rsid w:val="00105DE0"/>
    <w:rsid w:val="00106262"/>
    <w:rsid w:val="00106510"/>
    <w:rsid w:val="00106CD8"/>
    <w:rsid w:val="001071C9"/>
    <w:rsid w:val="0010792E"/>
    <w:rsid w:val="00107EDE"/>
    <w:rsid w:val="0011094D"/>
    <w:rsid w:val="00110ED5"/>
    <w:rsid w:val="001111EC"/>
    <w:rsid w:val="00111554"/>
    <w:rsid w:val="0011163D"/>
    <w:rsid w:val="001117E2"/>
    <w:rsid w:val="0011189C"/>
    <w:rsid w:val="00112939"/>
    <w:rsid w:val="00112C1D"/>
    <w:rsid w:val="001132CF"/>
    <w:rsid w:val="00113347"/>
    <w:rsid w:val="00113388"/>
    <w:rsid w:val="00113862"/>
    <w:rsid w:val="00113ADF"/>
    <w:rsid w:val="00113C2B"/>
    <w:rsid w:val="00113CAE"/>
    <w:rsid w:val="00113D66"/>
    <w:rsid w:val="00113F5E"/>
    <w:rsid w:val="0011427D"/>
    <w:rsid w:val="00114844"/>
    <w:rsid w:val="00114DBB"/>
    <w:rsid w:val="00114F83"/>
    <w:rsid w:val="00115688"/>
    <w:rsid w:val="001158BC"/>
    <w:rsid w:val="00116422"/>
    <w:rsid w:val="00116588"/>
    <w:rsid w:val="0011685E"/>
    <w:rsid w:val="001169C7"/>
    <w:rsid w:val="00120162"/>
    <w:rsid w:val="00120276"/>
    <w:rsid w:val="00120863"/>
    <w:rsid w:val="00120E2F"/>
    <w:rsid w:val="00121338"/>
    <w:rsid w:val="001214C4"/>
    <w:rsid w:val="001215F2"/>
    <w:rsid w:val="00121841"/>
    <w:rsid w:val="00121AEE"/>
    <w:rsid w:val="00122AE3"/>
    <w:rsid w:val="00122BB8"/>
    <w:rsid w:val="00122C80"/>
    <w:rsid w:val="00122F43"/>
    <w:rsid w:val="00122F6A"/>
    <w:rsid w:val="00123250"/>
    <w:rsid w:val="0012344B"/>
    <w:rsid w:val="0012394F"/>
    <w:rsid w:val="0012448C"/>
    <w:rsid w:val="001247C0"/>
    <w:rsid w:val="00124FE5"/>
    <w:rsid w:val="001251D1"/>
    <w:rsid w:val="001256FD"/>
    <w:rsid w:val="00125A39"/>
    <w:rsid w:val="00125B1F"/>
    <w:rsid w:val="00125B29"/>
    <w:rsid w:val="001260EA"/>
    <w:rsid w:val="00126610"/>
    <w:rsid w:val="00126698"/>
    <w:rsid w:val="00126BC6"/>
    <w:rsid w:val="00127150"/>
    <w:rsid w:val="0012733F"/>
    <w:rsid w:val="001278DC"/>
    <w:rsid w:val="00127A4A"/>
    <w:rsid w:val="00127AA6"/>
    <w:rsid w:val="00127E94"/>
    <w:rsid w:val="0013016E"/>
    <w:rsid w:val="001302DA"/>
    <w:rsid w:val="00130685"/>
    <w:rsid w:val="00130C7F"/>
    <w:rsid w:val="00130C9C"/>
    <w:rsid w:val="001317B6"/>
    <w:rsid w:val="00132482"/>
    <w:rsid w:val="001326F9"/>
    <w:rsid w:val="00132731"/>
    <w:rsid w:val="00132761"/>
    <w:rsid w:val="00132857"/>
    <w:rsid w:val="00132E05"/>
    <w:rsid w:val="00132FCE"/>
    <w:rsid w:val="0013306A"/>
    <w:rsid w:val="001330C0"/>
    <w:rsid w:val="001333A2"/>
    <w:rsid w:val="00133F97"/>
    <w:rsid w:val="0013430C"/>
    <w:rsid w:val="00134498"/>
    <w:rsid w:val="001344F6"/>
    <w:rsid w:val="001347D8"/>
    <w:rsid w:val="001352AE"/>
    <w:rsid w:val="00135685"/>
    <w:rsid w:val="00135A4F"/>
    <w:rsid w:val="00135CEF"/>
    <w:rsid w:val="00135D96"/>
    <w:rsid w:val="00135EE5"/>
    <w:rsid w:val="0013618A"/>
    <w:rsid w:val="00136597"/>
    <w:rsid w:val="0013668C"/>
    <w:rsid w:val="001369E3"/>
    <w:rsid w:val="00136FB0"/>
    <w:rsid w:val="001379D0"/>
    <w:rsid w:val="00137C05"/>
    <w:rsid w:val="00137D82"/>
    <w:rsid w:val="00137DE1"/>
    <w:rsid w:val="00140641"/>
    <w:rsid w:val="00140691"/>
    <w:rsid w:val="00140BC1"/>
    <w:rsid w:val="00140CA9"/>
    <w:rsid w:val="00140D4C"/>
    <w:rsid w:val="00140D5F"/>
    <w:rsid w:val="00140DA6"/>
    <w:rsid w:val="001411AD"/>
    <w:rsid w:val="0014150B"/>
    <w:rsid w:val="0014161F"/>
    <w:rsid w:val="00141896"/>
    <w:rsid w:val="00141B13"/>
    <w:rsid w:val="0014256E"/>
    <w:rsid w:val="001425E7"/>
    <w:rsid w:val="00142631"/>
    <w:rsid w:val="00142B1F"/>
    <w:rsid w:val="00143536"/>
    <w:rsid w:val="0014355F"/>
    <w:rsid w:val="001437A1"/>
    <w:rsid w:val="00143939"/>
    <w:rsid w:val="00143E3C"/>
    <w:rsid w:val="001446E0"/>
    <w:rsid w:val="00144F69"/>
    <w:rsid w:val="00145259"/>
    <w:rsid w:val="0014528D"/>
    <w:rsid w:val="001458CD"/>
    <w:rsid w:val="00146E9B"/>
    <w:rsid w:val="00150022"/>
    <w:rsid w:val="001503C3"/>
    <w:rsid w:val="001505DD"/>
    <w:rsid w:val="0015067C"/>
    <w:rsid w:val="001506EA"/>
    <w:rsid w:val="001509F7"/>
    <w:rsid w:val="00150F62"/>
    <w:rsid w:val="00150F6E"/>
    <w:rsid w:val="001511D4"/>
    <w:rsid w:val="00151A88"/>
    <w:rsid w:val="00151D30"/>
    <w:rsid w:val="00151E18"/>
    <w:rsid w:val="001522EA"/>
    <w:rsid w:val="00152E0E"/>
    <w:rsid w:val="00152E1F"/>
    <w:rsid w:val="00152EE5"/>
    <w:rsid w:val="00153316"/>
    <w:rsid w:val="00153C90"/>
    <w:rsid w:val="00153E6C"/>
    <w:rsid w:val="00155927"/>
    <w:rsid w:val="00155993"/>
    <w:rsid w:val="00155A08"/>
    <w:rsid w:val="0015601A"/>
    <w:rsid w:val="0015656F"/>
    <w:rsid w:val="00156899"/>
    <w:rsid w:val="00156AA4"/>
    <w:rsid w:val="00157300"/>
    <w:rsid w:val="00157964"/>
    <w:rsid w:val="00157B65"/>
    <w:rsid w:val="00160AA2"/>
    <w:rsid w:val="001612E4"/>
    <w:rsid w:val="00161852"/>
    <w:rsid w:val="0016185C"/>
    <w:rsid w:val="001625C0"/>
    <w:rsid w:val="00162A53"/>
    <w:rsid w:val="00162A96"/>
    <w:rsid w:val="00163E11"/>
    <w:rsid w:val="00163E7F"/>
    <w:rsid w:val="00163EF8"/>
    <w:rsid w:val="00164592"/>
    <w:rsid w:val="00164755"/>
    <w:rsid w:val="0016481D"/>
    <w:rsid w:val="00164B6A"/>
    <w:rsid w:val="00164CB2"/>
    <w:rsid w:val="00164D32"/>
    <w:rsid w:val="00164E29"/>
    <w:rsid w:val="00164E68"/>
    <w:rsid w:val="00165098"/>
    <w:rsid w:val="001655B3"/>
    <w:rsid w:val="00165F21"/>
    <w:rsid w:val="00166257"/>
    <w:rsid w:val="001662F7"/>
    <w:rsid w:val="001663CF"/>
    <w:rsid w:val="00166467"/>
    <w:rsid w:val="0016668C"/>
    <w:rsid w:val="00166984"/>
    <w:rsid w:val="00166DE4"/>
    <w:rsid w:val="00167320"/>
    <w:rsid w:val="001674B6"/>
    <w:rsid w:val="001700AD"/>
    <w:rsid w:val="00170264"/>
    <w:rsid w:val="0017026C"/>
    <w:rsid w:val="00170590"/>
    <w:rsid w:val="001714F2"/>
    <w:rsid w:val="00171573"/>
    <w:rsid w:val="00171A12"/>
    <w:rsid w:val="00171B23"/>
    <w:rsid w:val="00171B86"/>
    <w:rsid w:val="0017364D"/>
    <w:rsid w:val="00175385"/>
    <w:rsid w:val="00175621"/>
    <w:rsid w:val="00175F3E"/>
    <w:rsid w:val="00176404"/>
    <w:rsid w:val="0017646A"/>
    <w:rsid w:val="00176706"/>
    <w:rsid w:val="00176A43"/>
    <w:rsid w:val="00176E93"/>
    <w:rsid w:val="001774DA"/>
    <w:rsid w:val="001775CD"/>
    <w:rsid w:val="00177CC0"/>
    <w:rsid w:val="00177F9F"/>
    <w:rsid w:val="001807D9"/>
    <w:rsid w:val="00180ABE"/>
    <w:rsid w:val="0018114B"/>
    <w:rsid w:val="0018129D"/>
    <w:rsid w:val="001814F8"/>
    <w:rsid w:val="00182954"/>
    <w:rsid w:val="00182DA2"/>
    <w:rsid w:val="00182ECF"/>
    <w:rsid w:val="001831C3"/>
    <w:rsid w:val="001835B5"/>
    <w:rsid w:val="0018360B"/>
    <w:rsid w:val="00184432"/>
    <w:rsid w:val="00184474"/>
    <w:rsid w:val="001844FA"/>
    <w:rsid w:val="00184A70"/>
    <w:rsid w:val="00185881"/>
    <w:rsid w:val="00185F6C"/>
    <w:rsid w:val="00186045"/>
    <w:rsid w:val="0018685E"/>
    <w:rsid w:val="00186D44"/>
    <w:rsid w:val="00186FB5"/>
    <w:rsid w:val="00186FFA"/>
    <w:rsid w:val="001870C9"/>
    <w:rsid w:val="00187A96"/>
    <w:rsid w:val="00187D95"/>
    <w:rsid w:val="00187EED"/>
    <w:rsid w:val="0019023D"/>
    <w:rsid w:val="00190319"/>
    <w:rsid w:val="00190992"/>
    <w:rsid w:val="00191F34"/>
    <w:rsid w:val="00192804"/>
    <w:rsid w:val="00192F3C"/>
    <w:rsid w:val="00192F63"/>
    <w:rsid w:val="001938BE"/>
    <w:rsid w:val="00194298"/>
    <w:rsid w:val="0019695C"/>
    <w:rsid w:val="00196BA3"/>
    <w:rsid w:val="00196C3E"/>
    <w:rsid w:val="00196C89"/>
    <w:rsid w:val="00196D48"/>
    <w:rsid w:val="0019762A"/>
    <w:rsid w:val="00197B53"/>
    <w:rsid w:val="001A0A4D"/>
    <w:rsid w:val="001A1632"/>
    <w:rsid w:val="001A193F"/>
    <w:rsid w:val="001A1FDA"/>
    <w:rsid w:val="001A207B"/>
    <w:rsid w:val="001A2582"/>
    <w:rsid w:val="001A272B"/>
    <w:rsid w:val="001A2807"/>
    <w:rsid w:val="001A301A"/>
    <w:rsid w:val="001A3149"/>
    <w:rsid w:val="001A399F"/>
    <w:rsid w:val="001A3B99"/>
    <w:rsid w:val="001A3CF9"/>
    <w:rsid w:val="001A5250"/>
    <w:rsid w:val="001A5294"/>
    <w:rsid w:val="001A5667"/>
    <w:rsid w:val="001A582C"/>
    <w:rsid w:val="001A5DB3"/>
    <w:rsid w:val="001A62A3"/>
    <w:rsid w:val="001A7794"/>
    <w:rsid w:val="001A7AA4"/>
    <w:rsid w:val="001A7C35"/>
    <w:rsid w:val="001B05E0"/>
    <w:rsid w:val="001B0D80"/>
    <w:rsid w:val="001B0EB5"/>
    <w:rsid w:val="001B1131"/>
    <w:rsid w:val="001B12AF"/>
    <w:rsid w:val="001B1588"/>
    <w:rsid w:val="001B1761"/>
    <w:rsid w:val="001B1A4A"/>
    <w:rsid w:val="001B3290"/>
    <w:rsid w:val="001B37A2"/>
    <w:rsid w:val="001B3A21"/>
    <w:rsid w:val="001B3E7B"/>
    <w:rsid w:val="001B4243"/>
    <w:rsid w:val="001B4AFF"/>
    <w:rsid w:val="001B5AEF"/>
    <w:rsid w:val="001B5BDF"/>
    <w:rsid w:val="001B5FDC"/>
    <w:rsid w:val="001B6673"/>
    <w:rsid w:val="001B6752"/>
    <w:rsid w:val="001B6F7C"/>
    <w:rsid w:val="001B760F"/>
    <w:rsid w:val="001B7CDB"/>
    <w:rsid w:val="001C0779"/>
    <w:rsid w:val="001C08D1"/>
    <w:rsid w:val="001C0901"/>
    <w:rsid w:val="001C0DF5"/>
    <w:rsid w:val="001C1987"/>
    <w:rsid w:val="001C1C98"/>
    <w:rsid w:val="001C1CD9"/>
    <w:rsid w:val="001C259C"/>
    <w:rsid w:val="001C290E"/>
    <w:rsid w:val="001C305A"/>
    <w:rsid w:val="001C388B"/>
    <w:rsid w:val="001C392A"/>
    <w:rsid w:val="001C396A"/>
    <w:rsid w:val="001C3DDE"/>
    <w:rsid w:val="001C3E12"/>
    <w:rsid w:val="001C431C"/>
    <w:rsid w:val="001C46B9"/>
    <w:rsid w:val="001C5C9E"/>
    <w:rsid w:val="001C666C"/>
    <w:rsid w:val="001C6738"/>
    <w:rsid w:val="001C70A3"/>
    <w:rsid w:val="001C72C8"/>
    <w:rsid w:val="001C72D4"/>
    <w:rsid w:val="001C7671"/>
    <w:rsid w:val="001C7918"/>
    <w:rsid w:val="001D0624"/>
    <w:rsid w:val="001D0A29"/>
    <w:rsid w:val="001D141F"/>
    <w:rsid w:val="001D2508"/>
    <w:rsid w:val="001D26D8"/>
    <w:rsid w:val="001D2717"/>
    <w:rsid w:val="001D2C5E"/>
    <w:rsid w:val="001D3135"/>
    <w:rsid w:val="001D34EC"/>
    <w:rsid w:val="001D47C8"/>
    <w:rsid w:val="001D4BC6"/>
    <w:rsid w:val="001D538C"/>
    <w:rsid w:val="001D560B"/>
    <w:rsid w:val="001D5C14"/>
    <w:rsid w:val="001D5C4E"/>
    <w:rsid w:val="001D5DF0"/>
    <w:rsid w:val="001D5EC6"/>
    <w:rsid w:val="001D647A"/>
    <w:rsid w:val="001D6BB6"/>
    <w:rsid w:val="001D6C59"/>
    <w:rsid w:val="001D6D00"/>
    <w:rsid w:val="001D6EA5"/>
    <w:rsid w:val="001D7261"/>
    <w:rsid w:val="001D7C2D"/>
    <w:rsid w:val="001D7F51"/>
    <w:rsid w:val="001E0085"/>
    <w:rsid w:val="001E030A"/>
    <w:rsid w:val="001E0557"/>
    <w:rsid w:val="001E0579"/>
    <w:rsid w:val="001E0F68"/>
    <w:rsid w:val="001E1197"/>
    <w:rsid w:val="001E1585"/>
    <w:rsid w:val="001E265D"/>
    <w:rsid w:val="001E2862"/>
    <w:rsid w:val="001E2E14"/>
    <w:rsid w:val="001E2EF4"/>
    <w:rsid w:val="001E3279"/>
    <w:rsid w:val="001E39D5"/>
    <w:rsid w:val="001E3D78"/>
    <w:rsid w:val="001E4482"/>
    <w:rsid w:val="001E44B9"/>
    <w:rsid w:val="001E455D"/>
    <w:rsid w:val="001E4604"/>
    <w:rsid w:val="001E46E0"/>
    <w:rsid w:val="001E49DF"/>
    <w:rsid w:val="001E4C7D"/>
    <w:rsid w:val="001E4DAC"/>
    <w:rsid w:val="001E4DC9"/>
    <w:rsid w:val="001E5016"/>
    <w:rsid w:val="001E5849"/>
    <w:rsid w:val="001E5EF5"/>
    <w:rsid w:val="001E60DE"/>
    <w:rsid w:val="001E6183"/>
    <w:rsid w:val="001E6660"/>
    <w:rsid w:val="001E6B44"/>
    <w:rsid w:val="001E6C48"/>
    <w:rsid w:val="001E72C7"/>
    <w:rsid w:val="001E7C9C"/>
    <w:rsid w:val="001F0143"/>
    <w:rsid w:val="001F1453"/>
    <w:rsid w:val="001F1744"/>
    <w:rsid w:val="001F191D"/>
    <w:rsid w:val="001F1A06"/>
    <w:rsid w:val="001F22E9"/>
    <w:rsid w:val="001F2481"/>
    <w:rsid w:val="001F27A0"/>
    <w:rsid w:val="001F2947"/>
    <w:rsid w:val="001F2969"/>
    <w:rsid w:val="001F38D0"/>
    <w:rsid w:val="001F3C42"/>
    <w:rsid w:val="001F3C5B"/>
    <w:rsid w:val="001F3DE8"/>
    <w:rsid w:val="001F42E1"/>
    <w:rsid w:val="001F4910"/>
    <w:rsid w:val="001F491A"/>
    <w:rsid w:val="001F6429"/>
    <w:rsid w:val="001F654E"/>
    <w:rsid w:val="001F6C71"/>
    <w:rsid w:val="001F6ECC"/>
    <w:rsid w:val="001F7448"/>
    <w:rsid w:val="001F7B35"/>
    <w:rsid w:val="001F7F76"/>
    <w:rsid w:val="002004F1"/>
    <w:rsid w:val="002004F3"/>
    <w:rsid w:val="00200B8B"/>
    <w:rsid w:val="00200C1E"/>
    <w:rsid w:val="00200CD2"/>
    <w:rsid w:val="00200F60"/>
    <w:rsid w:val="00201E09"/>
    <w:rsid w:val="00201F2A"/>
    <w:rsid w:val="002030A6"/>
    <w:rsid w:val="0020322B"/>
    <w:rsid w:val="002034F4"/>
    <w:rsid w:val="00203746"/>
    <w:rsid w:val="00203D40"/>
    <w:rsid w:val="0020418A"/>
    <w:rsid w:val="0020437E"/>
    <w:rsid w:val="002044C4"/>
    <w:rsid w:val="00204A68"/>
    <w:rsid w:val="00204C76"/>
    <w:rsid w:val="00204D0B"/>
    <w:rsid w:val="00204DA4"/>
    <w:rsid w:val="00204F77"/>
    <w:rsid w:val="00206066"/>
    <w:rsid w:val="00206190"/>
    <w:rsid w:val="00206239"/>
    <w:rsid w:val="0020629C"/>
    <w:rsid w:val="00206A20"/>
    <w:rsid w:val="00206E3F"/>
    <w:rsid w:val="00206E4A"/>
    <w:rsid w:val="00207454"/>
    <w:rsid w:val="0020751D"/>
    <w:rsid w:val="00207A9F"/>
    <w:rsid w:val="00207AB7"/>
    <w:rsid w:val="00207F68"/>
    <w:rsid w:val="00210545"/>
    <w:rsid w:val="00210A1E"/>
    <w:rsid w:val="00210A72"/>
    <w:rsid w:val="00210C75"/>
    <w:rsid w:val="00210CCC"/>
    <w:rsid w:val="00210E3C"/>
    <w:rsid w:val="002110FF"/>
    <w:rsid w:val="00211687"/>
    <w:rsid w:val="0021175F"/>
    <w:rsid w:val="002119B0"/>
    <w:rsid w:val="00211BCF"/>
    <w:rsid w:val="00211D16"/>
    <w:rsid w:val="002129B9"/>
    <w:rsid w:val="00212CC3"/>
    <w:rsid w:val="002131A8"/>
    <w:rsid w:val="002137F9"/>
    <w:rsid w:val="00213C77"/>
    <w:rsid w:val="00214332"/>
    <w:rsid w:val="00214428"/>
    <w:rsid w:val="00214622"/>
    <w:rsid w:val="002146E9"/>
    <w:rsid w:val="0021495C"/>
    <w:rsid w:val="00214A50"/>
    <w:rsid w:val="00214C3E"/>
    <w:rsid w:val="002150EA"/>
    <w:rsid w:val="00215695"/>
    <w:rsid w:val="00215884"/>
    <w:rsid w:val="00215937"/>
    <w:rsid w:val="00215AAF"/>
    <w:rsid w:val="00215C52"/>
    <w:rsid w:val="00216037"/>
    <w:rsid w:val="0021606A"/>
    <w:rsid w:val="002160B7"/>
    <w:rsid w:val="00216477"/>
    <w:rsid w:val="0021659C"/>
    <w:rsid w:val="002167E5"/>
    <w:rsid w:val="00216E8E"/>
    <w:rsid w:val="00216F48"/>
    <w:rsid w:val="00217D18"/>
    <w:rsid w:val="00220234"/>
    <w:rsid w:val="0022071B"/>
    <w:rsid w:val="00220D1A"/>
    <w:rsid w:val="00220E26"/>
    <w:rsid w:val="00221604"/>
    <w:rsid w:val="0022165B"/>
    <w:rsid w:val="00221B3B"/>
    <w:rsid w:val="00221E7D"/>
    <w:rsid w:val="00222077"/>
    <w:rsid w:val="002220AE"/>
    <w:rsid w:val="00222876"/>
    <w:rsid w:val="0022305C"/>
    <w:rsid w:val="0022308C"/>
    <w:rsid w:val="0022317C"/>
    <w:rsid w:val="002232E9"/>
    <w:rsid w:val="00223790"/>
    <w:rsid w:val="00223CF5"/>
    <w:rsid w:val="00223FBA"/>
    <w:rsid w:val="00223FC0"/>
    <w:rsid w:val="00224210"/>
    <w:rsid w:val="00224281"/>
    <w:rsid w:val="0022515F"/>
    <w:rsid w:val="002257B6"/>
    <w:rsid w:val="002259B2"/>
    <w:rsid w:val="00225AE0"/>
    <w:rsid w:val="00225BBA"/>
    <w:rsid w:val="00225C6F"/>
    <w:rsid w:val="00226471"/>
    <w:rsid w:val="00227295"/>
    <w:rsid w:val="00227585"/>
    <w:rsid w:val="00227E06"/>
    <w:rsid w:val="00227EC8"/>
    <w:rsid w:val="0023070E"/>
    <w:rsid w:val="0023081A"/>
    <w:rsid w:val="00230A19"/>
    <w:rsid w:val="00230CFC"/>
    <w:rsid w:val="002313E1"/>
    <w:rsid w:val="002318CA"/>
    <w:rsid w:val="00231ABC"/>
    <w:rsid w:val="00231EF0"/>
    <w:rsid w:val="002324B7"/>
    <w:rsid w:val="00232BD9"/>
    <w:rsid w:val="0023334A"/>
    <w:rsid w:val="00233437"/>
    <w:rsid w:val="0023374B"/>
    <w:rsid w:val="002338E3"/>
    <w:rsid w:val="002339E9"/>
    <w:rsid w:val="00233A7F"/>
    <w:rsid w:val="0023547A"/>
    <w:rsid w:val="00235E0F"/>
    <w:rsid w:val="00236120"/>
    <w:rsid w:val="0023618A"/>
    <w:rsid w:val="0023698B"/>
    <w:rsid w:val="00236FA8"/>
    <w:rsid w:val="002377B2"/>
    <w:rsid w:val="00240A91"/>
    <w:rsid w:val="0024137E"/>
    <w:rsid w:val="002417E6"/>
    <w:rsid w:val="002419DE"/>
    <w:rsid w:val="00241A85"/>
    <w:rsid w:val="00241F50"/>
    <w:rsid w:val="0024273C"/>
    <w:rsid w:val="002436B6"/>
    <w:rsid w:val="00243E42"/>
    <w:rsid w:val="00244794"/>
    <w:rsid w:val="00245069"/>
    <w:rsid w:val="002459BF"/>
    <w:rsid w:val="002459F7"/>
    <w:rsid w:val="00246502"/>
    <w:rsid w:val="00246E63"/>
    <w:rsid w:val="0024710F"/>
    <w:rsid w:val="002472F0"/>
    <w:rsid w:val="0024756A"/>
    <w:rsid w:val="002500A4"/>
    <w:rsid w:val="002500C3"/>
    <w:rsid w:val="00250156"/>
    <w:rsid w:val="002504E5"/>
    <w:rsid w:val="00250C5E"/>
    <w:rsid w:val="00250D05"/>
    <w:rsid w:val="00250F2C"/>
    <w:rsid w:val="00251240"/>
    <w:rsid w:val="002515D5"/>
    <w:rsid w:val="0025218F"/>
    <w:rsid w:val="00252415"/>
    <w:rsid w:val="0025248A"/>
    <w:rsid w:val="00252620"/>
    <w:rsid w:val="00252662"/>
    <w:rsid w:val="00252680"/>
    <w:rsid w:val="00252FEA"/>
    <w:rsid w:val="002535B0"/>
    <w:rsid w:val="002539EB"/>
    <w:rsid w:val="00253A58"/>
    <w:rsid w:val="00253ABF"/>
    <w:rsid w:val="0025408F"/>
    <w:rsid w:val="00254377"/>
    <w:rsid w:val="002543FA"/>
    <w:rsid w:val="002545AF"/>
    <w:rsid w:val="00254704"/>
    <w:rsid w:val="00254D82"/>
    <w:rsid w:val="00254F9A"/>
    <w:rsid w:val="002558FC"/>
    <w:rsid w:val="00255C16"/>
    <w:rsid w:val="002574E0"/>
    <w:rsid w:val="002575E0"/>
    <w:rsid w:val="00257BBA"/>
    <w:rsid w:val="00260168"/>
    <w:rsid w:val="00260AD3"/>
    <w:rsid w:val="00260BF1"/>
    <w:rsid w:val="00260DC5"/>
    <w:rsid w:val="00261AF2"/>
    <w:rsid w:val="002620C1"/>
    <w:rsid w:val="00262BDD"/>
    <w:rsid w:val="00263702"/>
    <w:rsid w:val="00263BEE"/>
    <w:rsid w:val="00264A47"/>
    <w:rsid w:val="00264B49"/>
    <w:rsid w:val="00265548"/>
    <w:rsid w:val="002660E0"/>
    <w:rsid w:val="00266166"/>
    <w:rsid w:val="0026626B"/>
    <w:rsid w:val="002675CF"/>
    <w:rsid w:val="0026770C"/>
    <w:rsid w:val="00267DA2"/>
    <w:rsid w:val="0027076D"/>
    <w:rsid w:val="00270FF2"/>
    <w:rsid w:val="0027121E"/>
    <w:rsid w:val="0027143D"/>
    <w:rsid w:val="00271583"/>
    <w:rsid w:val="0027182D"/>
    <w:rsid w:val="00271946"/>
    <w:rsid w:val="00271AAD"/>
    <w:rsid w:val="00272552"/>
    <w:rsid w:val="00272D09"/>
    <w:rsid w:val="00272D5B"/>
    <w:rsid w:val="00273601"/>
    <w:rsid w:val="002738C0"/>
    <w:rsid w:val="00273ADB"/>
    <w:rsid w:val="00273B62"/>
    <w:rsid w:val="00274350"/>
    <w:rsid w:val="002743F0"/>
    <w:rsid w:val="0027457F"/>
    <w:rsid w:val="002746DF"/>
    <w:rsid w:val="00274E09"/>
    <w:rsid w:val="00274F57"/>
    <w:rsid w:val="0027504C"/>
    <w:rsid w:val="00275181"/>
    <w:rsid w:val="00275840"/>
    <w:rsid w:val="00275BFE"/>
    <w:rsid w:val="00275DE6"/>
    <w:rsid w:val="00275F41"/>
    <w:rsid w:val="0027600A"/>
    <w:rsid w:val="00276170"/>
    <w:rsid w:val="00276E89"/>
    <w:rsid w:val="0027767A"/>
    <w:rsid w:val="002778BE"/>
    <w:rsid w:val="00277EDC"/>
    <w:rsid w:val="002809B6"/>
    <w:rsid w:val="00280AB4"/>
    <w:rsid w:val="00280E42"/>
    <w:rsid w:val="002813B5"/>
    <w:rsid w:val="00281E3F"/>
    <w:rsid w:val="0028331B"/>
    <w:rsid w:val="002838A7"/>
    <w:rsid w:val="00284834"/>
    <w:rsid w:val="00284CB9"/>
    <w:rsid w:val="002858C1"/>
    <w:rsid w:val="00285975"/>
    <w:rsid w:val="002865C2"/>
    <w:rsid w:val="00286692"/>
    <w:rsid w:val="00286A22"/>
    <w:rsid w:val="00286E5A"/>
    <w:rsid w:val="00287018"/>
    <w:rsid w:val="0028710E"/>
    <w:rsid w:val="00287110"/>
    <w:rsid w:val="00290351"/>
    <w:rsid w:val="00290428"/>
    <w:rsid w:val="00290545"/>
    <w:rsid w:val="00290580"/>
    <w:rsid w:val="002909D1"/>
    <w:rsid w:val="002911D6"/>
    <w:rsid w:val="002915A1"/>
    <w:rsid w:val="00291852"/>
    <w:rsid w:val="0029210F"/>
    <w:rsid w:val="00292725"/>
    <w:rsid w:val="00292CFA"/>
    <w:rsid w:val="00292DF5"/>
    <w:rsid w:val="0029388D"/>
    <w:rsid w:val="00293ACF"/>
    <w:rsid w:val="00293B20"/>
    <w:rsid w:val="00293E58"/>
    <w:rsid w:val="002940BF"/>
    <w:rsid w:val="00294835"/>
    <w:rsid w:val="00294ED2"/>
    <w:rsid w:val="002950E6"/>
    <w:rsid w:val="00295740"/>
    <w:rsid w:val="00295961"/>
    <w:rsid w:val="00295B4D"/>
    <w:rsid w:val="00295E1A"/>
    <w:rsid w:val="00295E31"/>
    <w:rsid w:val="00296883"/>
    <w:rsid w:val="00296D8D"/>
    <w:rsid w:val="00297046"/>
    <w:rsid w:val="00297828"/>
    <w:rsid w:val="00297F2B"/>
    <w:rsid w:val="002A0141"/>
    <w:rsid w:val="002A05C9"/>
    <w:rsid w:val="002A0BE9"/>
    <w:rsid w:val="002A0C20"/>
    <w:rsid w:val="002A0CBC"/>
    <w:rsid w:val="002A0D8E"/>
    <w:rsid w:val="002A17F9"/>
    <w:rsid w:val="002A2743"/>
    <w:rsid w:val="002A322A"/>
    <w:rsid w:val="002A3796"/>
    <w:rsid w:val="002A3E0C"/>
    <w:rsid w:val="002A4087"/>
    <w:rsid w:val="002A43CA"/>
    <w:rsid w:val="002A492E"/>
    <w:rsid w:val="002A53FD"/>
    <w:rsid w:val="002A55B3"/>
    <w:rsid w:val="002A55EB"/>
    <w:rsid w:val="002A5DE0"/>
    <w:rsid w:val="002A6FFC"/>
    <w:rsid w:val="002A7945"/>
    <w:rsid w:val="002A7FC3"/>
    <w:rsid w:val="002B05A2"/>
    <w:rsid w:val="002B0883"/>
    <w:rsid w:val="002B198F"/>
    <w:rsid w:val="002B1B14"/>
    <w:rsid w:val="002B1BCF"/>
    <w:rsid w:val="002B1C01"/>
    <w:rsid w:val="002B1C8E"/>
    <w:rsid w:val="002B1D6F"/>
    <w:rsid w:val="002B280E"/>
    <w:rsid w:val="002B30FB"/>
    <w:rsid w:val="002B31D8"/>
    <w:rsid w:val="002B3792"/>
    <w:rsid w:val="002B3BFB"/>
    <w:rsid w:val="002B3D17"/>
    <w:rsid w:val="002B4100"/>
    <w:rsid w:val="002B47E7"/>
    <w:rsid w:val="002B52AF"/>
    <w:rsid w:val="002B549A"/>
    <w:rsid w:val="002B54FB"/>
    <w:rsid w:val="002B59A2"/>
    <w:rsid w:val="002B6098"/>
    <w:rsid w:val="002B627D"/>
    <w:rsid w:val="002B7357"/>
    <w:rsid w:val="002B7726"/>
    <w:rsid w:val="002C00A2"/>
    <w:rsid w:val="002C02E0"/>
    <w:rsid w:val="002C04FC"/>
    <w:rsid w:val="002C0A43"/>
    <w:rsid w:val="002C0A6F"/>
    <w:rsid w:val="002C11F4"/>
    <w:rsid w:val="002C18B8"/>
    <w:rsid w:val="002C1A21"/>
    <w:rsid w:val="002C2195"/>
    <w:rsid w:val="002C27BE"/>
    <w:rsid w:val="002C2BD4"/>
    <w:rsid w:val="002C2C01"/>
    <w:rsid w:val="002C2DF2"/>
    <w:rsid w:val="002C31D0"/>
    <w:rsid w:val="002C328C"/>
    <w:rsid w:val="002C4737"/>
    <w:rsid w:val="002C4BC0"/>
    <w:rsid w:val="002C514D"/>
    <w:rsid w:val="002C5341"/>
    <w:rsid w:val="002C5DEC"/>
    <w:rsid w:val="002C5F39"/>
    <w:rsid w:val="002C6056"/>
    <w:rsid w:val="002C6153"/>
    <w:rsid w:val="002C680F"/>
    <w:rsid w:val="002C7167"/>
    <w:rsid w:val="002C729E"/>
    <w:rsid w:val="002C72BA"/>
    <w:rsid w:val="002C73B5"/>
    <w:rsid w:val="002D0155"/>
    <w:rsid w:val="002D0578"/>
    <w:rsid w:val="002D0599"/>
    <w:rsid w:val="002D0A21"/>
    <w:rsid w:val="002D0B3C"/>
    <w:rsid w:val="002D0CF9"/>
    <w:rsid w:val="002D2172"/>
    <w:rsid w:val="002D24B4"/>
    <w:rsid w:val="002D2F59"/>
    <w:rsid w:val="002D3231"/>
    <w:rsid w:val="002D3B3C"/>
    <w:rsid w:val="002D3C0C"/>
    <w:rsid w:val="002D3FFF"/>
    <w:rsid w:val="002D4160"/>
    <w:rsid w:val="002D4ABD"/>
    <w:rsid w:val="002D4B3A"/>
    <w:rsid w:val="002D4D13"/>
    <w:rsid w:val="002D5075"/>
    <w:rsid w:val="002D54B0"/>
    <w:rsid w:val="002D5C69"/>
    <w:rsid w:val="002D5F65"/>
    <w:rsid w:val="002D7B15"/>
    <w:rsid w:val="002D7FDC"/>
    <w:rsid w:val="002E0237"/>
    <w:rsid w:val="002E05C8"/>
    <w:rsid w:val="002E0805"/>
    <w:rsid w:val="002E0A8B"/>
    <w:rsid w:val="002E0FFC"/>
    <w:rsid w:val="002E112C"/>
    <w:rsid w:val="002E12DD"/>
    <w:rsid w:val="002E1D23"/>
    <w:rsid w:val="002E1EF9"/>
    <w:rsid w:val="002E228F"/>
    <w:rsid w:val="002E28B2"/>
    <w:rsid w:val="002E2903"/>
    <w:rsid w:val="002E2CB7"/>
    <w:rsid w:val="002E332C"/>
    <w:rsid w:val="002E3353"/>
    <w:rsid w:val="002E3602"/>
    <w:rsid w:val="002E4E85"/>
    <w:rsid w:val="002E54F4"/>
    <w:rsid w:val="002E56CA"/>
    <w:rsid w:val="002E6579"/>
    <w:rsid w:val="002E69CF"/>
    <w:rsid w:val="002E6AD0"/>
    <w:rsid w:val="002E6BBC"/>
    <w:rsid w:val="002E70A3"/>
    <w:rsid w:val="002E7294"/>
    <w:rsid w:val="002E76F4"/>
    <w:rsid w:val="002E7A65"/>
    <w:rsid w:val="002E7E15"/>
    <w:rsid w:val="002E7F0D"/>
    <w:rsid w:val="002F00DA"/>
    <w:rsid w:val="002F082B"/>
    <w:rsid w:val="002F1131"/>
    <w:rsid w:val="002F1A77"/>
    <w:rsid w:val="002F21D5"/>
    <w:rsid w:val="002F2C24"/>
    <w:rsid w:val="002F398D"/>
    <w:rsid w:val="002F4384"/>
    <w:rsid w:val="002F47EA"/>
    <w:rsid w:val="002F47F5"/>
    <w:rsid w:val="002F4BB4"/>
    <w:rsid w:val="002F556A"/>
    <w:rsid w:val="002F588D"/>
    <w:rsid w:val="002F5929"/>
    <w:rsid w:val="002F641B"/>
    <w:rsid w:val="002F6424"/>
    <w:rsid w:val="002F6ADF"/>
    <w:rsid w:val="002F6AE3"/>
    <w:rsid w:val="002F6BF3"/>
    <w:rsid w:val="002F7DB8"/>
    <w:rsid w:val="003008E7"/>
    <w:rsid w:val="00301129"/>
    <w:rsid w:val="00301137"/>
    <w:rsid w:val="00301141"/>
    <w:rsid w:val="0030177F"/>
    <w:rsid w:val="003018FF"/>
    <w:rsid w:val="0030201E"/>
    <w:rsid w:val="00302A1B"/>
    <w:rsid w:val="00302FD1"/>
    <w:rsid w:val="00303075"/>
    <w:rsid w:val="00303D30"/>
    <w:rsid w:val="003044C7"/>
    <w:rsid w:val="0030450E"/>
    <w:rsid w:val="003045E0"/>
    <w:rsid w:val="00304844"/>
    <w:rsid w:val="003059B2"/>
    <w:rsid w:val="00305A02"/>
    <w:rsid w:val="00305D4A"/>
    <w:rsid w:val="00305F39"/>
    <w:rsid w:val="003067C0"/>
    <w:rsid w:val="003067DA"/>
    <w:rsid w:val="00306BDD"/>
    <w:rsid w:val="00307DC6"/>
    <w:rsid w:val="00307ED0"/>
    <w:rsid w:val="003105D3"/>
    <w:rsid w:val="00310B08"/>
    <w:rsid w:val="003112CF"/>
    <w:rsid w:val="0031148E"/>
    <w:rsid w:val="00311721"/>
    <w:rsid w:val="00311FC5"/>
    <w:rsid w:val="0031234D"/>
    <w:rsid w:val="0031238F"/>
    <w:rsid w:val="0031303E"/>
    <w:rsid w:val="00313BF6"/>
    <w:rsid w:val="003147DC"/>
    <w:rsid w:val="00314C33"/>
    <w:rsid w:val="003156FD"/>
    <w:rsid w:val="00315BD2"/>
    <w:rsid w:val="00315D0B"/>
    <w:rsid w:val="00316735"/>
    <w:rsid w:val="0031714E"/>
    <w:rsid w:val="003177EB"/>
    <w:rsid w:val="00317A88"/>
    <w:rsid w:val="003201C8"/>
    <w:rsid w:val="003205CE"/>
    <w:rsid w:val="00320675"/>
    <w:rsid w:val="0032071D"/>
    <w:rsid w:val="00320EE8"/>
    <w:rsid w:val="0032173A"/>
    <w:rsid w:val="00321D60"/>
    <w:rsid w:val="00322473"/>
    <w:rsid w:val="00322863"/>
    <w:rsid w:val="00322DA0"/>
    <w:rsid w:val="0032392E"/>
    <w:rsid w:val="00324470"/>
    <w:rsid w:val="00324511"/>
    <w:rsid w:val="00324819"/>
    <w:rsid w:val="00324852"/>
    <w:rsid w:val="003248EA"/>
    <w:rsid w:val="00324B5E"/>
    <w:rsid w:val="00324BBC"/>
    <w:rsid w:val="00324ECB"/>
    <w:rsid w:val="00325465"/>
    <w:rsid w:val="00325F5E"/>
    <w:rsid w:val="00326109"/>
    <w:rsid w:val="0032665E"/>
    <w:rsid w:val="003268FA"/>
    <w:rsid w:val="00326EA4"/>
    <w:rsid w:val="003274E4"/>
    <w:rsid w:val="0032773D"/>
    <w:rsid w:val="00327924"/>
    <w:rsid w:val="00327C55"/>
    <w:rsid w:val="00327CD4"/>
    <w:rsid w:val="003303A1"/>
    <w:rsid w:val="00330ABF"/>
    <w:rsid w:val="003319B0"/>
    <w:rsid w:val="00331EC8"/>
    <w:rsid w:val="003330A1"/>
    <w:rsid w:val="00333262"/>
    <w:rsid w:val="0033392B"/>
    <w:rsid w:val="00333DBE"/>
    <w:rsid w:val="00334B9B"/>
    <w:rsid w:val="00334CD9"/>
    <w:rsid w:val="00334E60"/>
    <w:rsid w:val="00335073"/>
    <w:rsid w:val="0033527A"/>
    <w:rsid w:val="003356E0"/>
    <w:rsid w:val="00335BBF"/>
    <w:rsid w:val="00336413"/>
    <w:rsid w:val="00336851"/>
    <w:rsid w:val="00336882"/>
    <w:rsid w:val="00336EF5"/>
    <w:rsid w:val="00337145"/>
    <w:rsid w:val="003371D9"/>
    <w:rsid w:val="00337516"/>
    <w:rsid w:val="00337934"/>
    <w:rsid w:val="00340444"/>
    <w:rsid w:val="003406F1"/>
    <w:rsid w:val="003407F9"/>
    <w:rsid w:val="00340D3A"/>
    <w:rsid w:val="00341181"/>
    <w:rsid w:val="00341759"/>
    <w:rsid w:val="00341CA9"/>
    <w:rsid w:val="00341D42"/>
    <w:rsid w:val="00341DBC"/>
    <w:rsid w:val="003420BD"/>
    <w:rsid w:val="003422A8"/>
    <w:rsid w:val="0034280B"/>
    <w:rsid w:val="00342B2E"/>
    <w:rsid w:val="00342D8D"/>
    <w:rsid w:val="003435A6"/>
    <w:rsid w:val="0034369D"/>
    <w:rsid w:val="0034381A"/>
    <w:rsid w:val="00343C51"/>
    <w:rsid w:val="00343EA1"/>
    <w:rsid w:val="00343FE5"/>
    <w:rsid w:val="003447A8"/>
    <w:rsid w:val="003448A6"/>
    <w:rsid w:val="00345A01"/>
    <w:rsid w:val="0034620C"/>
    <w:rsid w:val="003462AE"/>
    <w:rsid w:val="0034650B"/>
    <w:rsid w:val="00347337"/>
    <w:rsid w:val="003476FC"/>
    <w:rsid w:val="00347758"/>
    <w:rsid w:val="003478B8"/>
    <w:rsid w:val="003478D5"/>
    <w:rsid w:val="003478D7"/>
    <w:rsid w:val="00347BD4"/>
    <w:rsid w:val="0035077D"/>
    <w:rsid w:val="003508C2"/>
    <w:rsid w:val="00350ECF"/>
    <w:rsid w:val="00351192"/>
    <w:rsid w:val="00351555"/>
    <w:rsid w:val="00351FAF"/>
    <w:rsid w:val="00352258"/>
    <w:rsid w:val="00352330"/>
    <w:rsid w:val="0035249B"/>
    <w:rsid w:val="00352701"/>
    <w:rsid w:val="00352B38"/>
    <w:rsid w:val="00352D00"/>
    <w:rsid w:val="003530EF"/>
    <w:rsid w:val="0035381D"/>
    <w:rsid w:val="00353887"/>
    <w:rsid w:val="00353EA9"/>
    <w:rsid w:val="003548C4"/>
    <w:rsid w:val="00354A6F"/>
    <w:rsid w:val="00354B2A"/>
    <w:rsid w:val="00355104"/>
    <w:rsid w:val="00355832"/>
    <w:rsid w:val="00355C3A"/>
    <w:rsid w:val="00356401"/>
    <w:rsid w:val="00356AF9"/>
    <w:rsid w:val="00356CBA"/>
    <w:rsid w:val="003572D4"/>
    <w:rsid w:val="00357544"/>
    <w:rsid w:val="00360E78"/>
    <w:rsid w:val="00361182"/>
    <w:rsid w:val="003613CF"/>
    <w:rsid w:val="003618CC"/>
    <w:rsid w:val="00362582"/>
    <w:rsid w:val="00362C2B"/>
    <w:rsid w:val="00363DE7"/>
    <w:rsid w:val="00363E8D"/>
    <w:rsid w:val="0036433A"/>
    <w:rsid w:val="00364D13"/>
    <w:rsid w:val="00364D2D"/>
    <w:rsid w:val="00364D48"/>
    <w:rsid w:val="00365375"/>
    <w:rsid w:val="00365944"/>
    <w:rsid w:val="00365C75"/>
    <w:rsid w:val="00366B86"/>
    <w:rsid w:val="00366BEA"/>
    <w:rsid w:val="00366EF2"/>
    <w:rsid w:val="003677CB"/>
    <w:rsid w:val="00367AC0"/>
    <w:rsid w:val="00367F85"/>
    <w:rsid w:val="0037014F"/>
    <w:rsid w:val="003704D6"/>
    <w:rsid w:val="0037094D"/>
    <w:rsid w:val="00370C53"/>
    <w:rsid w:val="00370D1D"/>
    <w:rsid w:val="00370F6F"/>
    <w:rsid w:val="0037189D"/>
    <w:rsid w:val="00371B2B"/>
    <w:rsid w:val="00371C19"/>
    <w:rsid w:val="003720B7"/>
    <w:rsid w:val="0037213E"/>
    <w:rsid w:val="003725AA"/>
    <w:rsid w:val="00373B2B"/>
    <w:rsid w:val="00374020"/>
    <w:rsid w:val="0037436E"/>
    <w:rsid w:val="00375255"/>
    <w:rsid w:val="00375543"/>
    <w:rsid w:val="00375A25"/>
    <w:rsid w:val="00375AD7"/>
    <w:rsid w:val="00375BCA"/>
    <w:rsid w:val="00376489"/>
    <w:rsid w:val="0037666B"/>
    <w:rsid w:val="0037673B"/>
    <w:rsid w:val="003768E0"/>
    <w:rsid w:val="003769CC"/>
    <w:rsid w:val="003775B9"/>
    <w:rsid w:val="00377824"/>
    <w:rsid w:val="00377884"/>
    <w:rsid w:val="003808DE"/>
    <w:rsid w:val="00380E90"/>
    <w:rsid w:val="0038107F"/>
    <w:rsid w:val="003811E9"/>
    <w:rsid w:val="003816C4"/>
    <w:rsid w:val="00381B13"/>
    <w:rsid w:val="00382264"/>
    <w:rsid w:val="00382499"/>
    <w:rsid w:val="003829EC"/>
    <w:rsid w:val="0038332A"/>
    <w:rsid w:val="00383929"/>
    <w:rsid w:val="00384C0E"/>
    <w:rsid w:val="003860AA"/>
    <w:rsid w:val="00386200"/>
    <w:rsid w:val="00387503"/>
    <w:rsid w:val="00390218"/>
    <w:rsid w:val="00391483"/>
    <w:rsid w:val="00391554"/>
    <w:rsid w:val="00392874"/>
    <w:rsid w:val="00392879"/>
    <w:rsid w:val="003930DC"/>
    <w:rsid w:val="0039345E"/>
    <w:rsid w:val="00393CB2"/>
    <w:rsid w:val="00393F3D"/>
    <w:rsid w:val="003948E2"/>
    <w:rsid w:val="00395B23"/>
    <w:rsid w:val="003962B4"/>
    <w:rsid w:val="00396AB8"/>
    <w:rsid w:val="0039709C"/>
    <w:rsid w:val="00397584"/>
    <w:rsid w:val="00397655"/>
    <w:rsid w:val="003A08B2"/>
    <w:rsid w:val="003A102E"/>
    <w:rsid w:val="003A105A"/>
    <w:rsid w:val="003A13EF"/>
    <w:rsid w:val="003A15A2"/>
    <w:rsid w:val="003A16AF"/>
    <w:rsid w:val="003A1A93"/>
    <w:rsid w:val="003A1DB9"/>
    <w:rsid w:val="003A2092"/>
    <w:rsid w:val="003A20E7"/>
    <w:rsid w:val="003A252D"/>
    <w:rsid w:val="003A2EEB"/>
    <w:rsid w:val="003A30DF"/>
    <w:rsid w:val="003A323E"/>
    <w:rsid w:val="003A32BF"/>
    <w:rsid w:val="003A34A3"/>
    <w:rsid w:val="003A3672"/>
    <w:rsid w:val="003A3AC0"/>
    <w:rsid w:val="003A3C1B"/>
    <w:rsid w:val="003A3F74"/>
    <w:rsid w:val="003A4053"/>
    <w:rsid w:val="003A40F7"/>
    <w:rsid w:val="003A449E"/>
    <w:rsid w:val="003A485E"/>
    <w:rsid w:val="003A4ED7"/>
    <w:rsid w:val="003A58D9"/>
    <w:rsid w:val="003A5C0E"/>
    <w:rsid w:val="003A5C19"/>
    <w:rsid w:val="003A63F3"/>
    <w:rsid w:val="003A686A"/>
    <w:rsid w:val="003A7DBD"/>
    <w:rsid w:val="003A7E00"/>
    <w:rsid w:val="003A7E12"/>
    <w:rsid w:val="003B0038"/>
    <w:rsid w:val="003B042B"/>
    <w:rsid w:val="003B051A"/>
    <w:rsid w:val="003B084E"/>
    <w:rsid w:val="003B0886"/>
    <w:rsid w:val="003B093A"/>
    <w:rsid w:val="003B0BCF"/>
    <w:rsid w:val="003B0FC6"/>
    <w:rsid w:val="003B125D"/>
    <w:rsid w:val="003B1783"/>
    <w:rsid w:val="003B1868"/>
    <w:rsid w:val="003B1903"/>
    <w:rsid w:val="003B1B9E"/>
    <w:rsid w:val="003B1C09"/>
    <w:rsid w:val="003B2868"/>
    <w:rsid w:val="003B2BF9"/>
    <w:rsid w:val="003B2C33"/>
    <w:rsid w:val="003B3612"/>
    <w:rsid w:val="003B4307"/>
    <w:rsid w:val="003B56F8"/>
    <w:rsid w:val="003B673D"/>
    <w:rsid w:val="003B6BF7"/>
    <w:rsid w:val="003B7934"/>
    <w:rsid w:val="003C0ADA"/>
    <w:rsid w:val="003C0EE0"/>
    <w:rsid w:val="003C0F4E"/>
    <w:rsid w:val="003C0F76"/>
    <w:rsid w:val="003C12F4"/>
    <w:rsid w:val="003C1919"/>
    <w:rsid w:val="003C218F"/>
    <w:rsid w:val="003C3F53"/>
    <w:rsid w:val="003C435F"/>
    <w:rsid w:val="003C4638"/>
    <w:rsid w:val="003C48A1"/>
    <w:rsid w:val="003C5AFF"/>
    <w:rsid w:val="003C5E57"/>
    <w:rsid w:val="003C65AB"/>
    <w:rsid w:val="003C678E"/>
    <w:rsid w:val="003C6ACC"/>
    <w:rsid w:val="003C6FC1"/>
    <w:rsid w:val="003C7AA8"/>
    <w:rsid w:val="003D00CA"/>
    <w:rsid w:val="003D1264"/>
    <w:rsid w:val="003D1F0C"/>
    <w:rsid w:val="003D220D"/>
    <w:rsid w:val="003D2FE9"/>
    <w:rsid w:val="003D3181"/>
    <w:rsid w:val="003D31A6"/>
    <w:rsid w:val="003D3388"/>
    <w:rsid w:val="003D36D7"/>
    <w:rsid w:val="003D3B04"/>
    <w:rsid w:val="003D3BC0"/>
    <w:rsid w:val="003D3D96"/>
    <w:rsid w:val="003D44B4"/>
    <w:rsid w:val="003D50F3"/>
    <w:rsid w:val="003D5773"/>
    <w:rsid w:val="003D5845"/>
    <w:rsid w:val="003D5B99"/>
    <w:rsid w:val="003D62D2"/>
    <w:rsid w:val="003D644A"/>
    <w:rsid w:val="003D689B"/>
    <w:rsid w:val="003D6A50"/>
    <w:rsid w:val="003D6E5B"/>
    <w:rsid w:val="003D75BF"/>
    <w:rsid w:val="003D7D06"/>
    <w:rsid w:val="003E08F2"/>
    <w:rsid w:val="003E1174"/>
    <w:rsid w:val="003E1CDE"/>
    <w:rsid w:val="003E2F8D"/>
    <w:rsid w:val="003E302C"/>
    <w:rsid w:val="003E326A"/>
    <w:rsid w:val="003E4192"/>
    <w:rsid w:val="003E481E"/>
    <w:rsid w:val="003E5563"/>
    <w:rsid w:val="003E61E5"/>
    <w:rsid w:val="003E62E7"/>
    <w:rsid w:val="003F0596"/>
    <w:rsid w:val="003F0679"/>
    <w:rsid w:val="003F0DB3"/>
    <w:rsid w:val="003F10A9"/>
    <w:rsid w:val="003F17D7"/>
    <w:rsid w:val="003F220A"/>
    <w:rsid w:val="003F22C0"/>
    <w:rsid w:val="003F2D4A"/>
    <w:rsid w:val="003F32FF"/>
    <w:rsid w:val="003F461F"/>
    <w:rsid w:val="003F4C14"/>
    <w:rsid w:val="003F4DE5"/>
    <w:rsid w:val="003F552D"/>
    <w:rsid w:val="003F5A32"/>
    <w:rsid w:val="003F5E9D"/>
    <w:rsid w:val="003F612F"/>
    <w:rsid w:val="003F6265"/>
    <w:rsid w:val="003F62CC"/>
    <w:rsid w:val="003F637C"/>
    <w:rsid w:val="003F66D9"/>
    <w:rsid w:val="003F6874"/>
    <w:rsid w:val="003F7525"/>
    <w:rsid w:val="003F75F8"/>
    <w:rsid w:val="003F7665"/>
    <w:rsid w:val="003F77E0"/>
    <w:rsid w:val="0040011C"/>
    <w:rsid w:val="004006B8"/>
    <w:rsid w:val="00400A86"/>
    <w:rsid w:val="00400C68"/>
    <w:rsid w:val="004012BE"/>
    <w:rsid w:val="00401590"/>
    <w:rsid w:val="00401AEE"/>
    <w:rsid w:val="0040215B"/>
    <w:rsid w:val="00402331"/>
    <w:rsid w:val="004025EB"/>
    <w:rsid w:val="004032DC"/>
    <w:rsid w:val="00403A58"/>
    <w:rsid w:val="004042E2"/>
    <w:rsid w:val="004046B4"/>
    <w:rsid w:val="00404BDA"/>
    <w:rsid w:val="00404F5B"/>
    <w:rsid w:val="00405021"/>
    <w:rsid w:val="004051AE"/>
    <w:rsid w:val="00405339"/>
    <w:rsid w:val="00405386"/>
    <w:rsid w:val="0040569E"/>
    <w:rsid w:val="00405850"/>
    <w:rsid w:val="00405BC0"/>
    <w:rsid w:val="00406471"/>
    <w:rsid w:val="004064CE"/>
    <w:rsid w:val="0040690E"/>
    <w:rsid w:val="00406AD0"/>
    <w:rsid w:val="00407144"/>
    <w:rsid w:val="0040797A"/>
    <w:rsid w:val="00407D45"/>
    <w:rsid w:val="0041044A"/>
    <w:rsid w:val="00410E92"/>
    <w:rsid w:val="00411009"/>
    <w:rsid w:val="004112E2"/>
    <w:rsid w:val="0041176B"/>
    <w:rsid w:val="00411B65"/>
    <w:rsid w:val="00411EEE"/>
    <w:rsid w:val="00412531"/>
    <w:rsid w:val="00412706"/>
    <w:rsid w:val="00412760"/>
    <w:rsid w:val="004139A6"/>
    <w:rsid w:val="00413A1E"/>
    <w:rsid w:val="00413A80"/>
    <w:rsid w:val="00413EDD"/>
    <w:rsid w:val="00413EF0"/>
    <w:rsid w:val="00414014"/>
    <w:rsid w:val="00414172"/>
    <w:rsid w:val="00414565"/>
    <w:rsid w:val="00414C0A"/>
    <w:rsid w:val="004160C6"/>
    <w:rsid w:val="00416A4F"/>
    <w:rsid w:val="00416B4B"/>
    <w:rsid w:val="004177B2"/>
    <w:rsid w:val="00417EB9"/>
    <w:rsid w:val="00417F4F"/>
    <w:rsid w:val="00420438"/>
    <w:rsid w:val="004208E4"/>
    <w:rsid w:val="004218DA"/>
    <w:rsid w:val="00421A1A"/>
    <w:rsid w:val="00422E2D"/>
    <w:rsid w:val="00423601"/>
    <w:rsid w:val="0042388B"/>
    <w:rsid w:val="00423F53"/>
    <w:rsid w:val="00424DBC"/>
    <w:rsid w:val="00425AD8"/>
    <w:rsid w:val="00425B3D"/>
    <w:rsid w:val="00425EEC"/>
    <w:rsid w:val="00426D80"/>
    <w:rsid w:val="004272F0"/>
    <w:rsid w:val="004279CB"/>
    <w:rsid w:val="00427C86"/>
    <w:rsid w:val="00430A9A"/>
    <w:rsid w:val="00430C0B"/>
    <w:rsid w:val="00430D1B"/>
    <w:rsid w:val="00430D69"/>
    <w:rsid w:val="00431067"/>
    <w:rsid w:val="00431246"/>
    <w:rsid w:val="00431688"/>
    <w:rsid w:val="00431A97"/>
    <w:rsid w:val="00431D37"/>
    <w:rsid w:val="00431D65"/>
    <w:rsid w:val="0043245E"/>
    <w:rsid w:val="0043299A"/>
    <w:rsid w:val="004329BA"/>
    <w:rsid w:val="004335F6"/>
    <w:rsid w:val="00433EC4"/>
    <w:rsid w:val="00434073"/>
    <w:rsid w:val="0043437A"/>
    <w:rsid w:val="00434766"/>
    <w:rsid w:val="004347F5"/>
    <w:rsid w:val="00434A25"/>
    <w:rsid w:val="00434BEC"/>
    <w:rsid w:val="00435907"/>
    <w:rsid w:val="00435C9F"/>
    <w:rsid w:val="0043646A"/>
    <w:rsid w:val="00436B71"/>
    <w:rsid w:val="00437538"/>
    <w:rsid w:val="00437E19"/>
    <w:rsid w:val="00440135"/>
    <w:rsid w:val="00440D56"/>
    <w:rsid w:val="004412D6"/>
    <w:rsid w:val="0044169A"/>
    <w:rsid w:val="004420C4"/>
    <w:rsid w:val="004421BC"/>
    <w:rsid w:val="0044236F"/>
    <w:rsid w:val="00442553"/>
    <w:rsid w:val="00442FD4"/>
    <w:rsid w:val="004435C6"/>
    <w:rsid w:val="004442A8"/>
    <w:rsid w:val="00444978"/>
    <w:rsid w:val="004453B6"/>
    <w:rsid w:val="00445F58"/>
    <w:rsid w:val="00446B7B"/>
    <w:rsid w:val="00447A9E"/>
    <w:rsid w:val="004503FA"/>
    <w:rsid w:val="00450713"/>
    <w:rsid w:val="004509C2"/>
    <w:rsid w:val="0045124A"/>
    <w:rsid w:val="00451763"/>
    <w:rsid w:val="00451BF0"/>
    <w:rsid w:val="00451E6B"/>
    <w:rsid w:val="00451F9C"/>
    <w:rsid w:val="004528AB"/>
    <w:rsid w:val="004529E4"/>
    <w:rsid w:val="004545AC"/>
    <w:rsid w:val="004545FF"/>
    <w:rsid w:val="0045496B"/>
    <w:rsid w:val="00454ACE"/>
    <w:rsid w:val="00454D01"/>
    <w:rsid w:val="00454EB5"/>
    <w:rsid w:val="004550AA"/>
    <w:rsid w:val="004552DE"/>
    <w:rsid w:val="00455CD5"/>
    <w:rsid w:val="00456153"/>
    <w:rsid w:val="004568D2"/>
    <w:rsid w:val="00457938"/>
    <w:rsid w:val="00457DB7"/>
    <w:rsid w:val="004601FF"/>
    <w:rsid w:val="004610F3"/>
    <w:rsid w:val="0046111F"/>
    <w:rsid w:val="0046197F"/>
    <w:rsid w:val="00461ACD"/>
    <w:rsid w:val="00461DC8"/>
    <w:rsid w:val="0046202A"/>
    <w:rsid w:val="00462499"/>
    <w:rsid w:val="0046249A"/>
    <w:rsid w:val="00462CFB"/>
    <w:rsid w:val="00462F5B"/>
    <w:rsid w:val="0046365B"/>
    <w:rsid w:val="00464409"/>
    <w:rsid w:val="004647BB"/>
    <w:rsid w:val="004647C4"/>
    <w:rsid w:val="00465A59"/>
    <w:rsid w:val="00465BA1"/>
    <w:rsid w:val="00465CB8"/>
    <w:rsid w:val="0046642D"/>
    <w:rsid w:val="0046650B"/>
    <w:rsid w:val="00466E29"/>
    <w:rsid w:val="004672FA"/>
    <w:rsid w:val="004676BD"/>
    <w:rsid w:val="0047129D"/>
    <w:rsid w:val="00472315"/>
    <w:rsid w:val="004726AF"/>
    <w:rsid w:val="004731A0"/>
    <w:rsid w:val="00473273"/>
    <w:rsid w:val="00473726"/>
    <w:rsid w:val="00473F05"/>
    <w:rsid w:val="004744AE"/>
    <w:rsid w:val="00474671"/>
    <w:rsid w:val="00474CE8"/>
    <w:rsid w:val="00474D2E"/>
    <w:rsid w:val="004756B0"/>
    <w:rsid w:val="00475AC6"/>
    <w:rsid w:val="00475D79"/>
    <w:rsid w:val="00475F4B"/>
    <w:rsid w:val="00476562"/>
    <w:rsid w:val="004765BD"/>
    <w:rsid w:val="0047673B"/>
    <w:rsid w:val="004768D6"/>
    <w:rsid w:val="00476950"/>
    <w:rsid w:val="00476AC8"/>
    <w:rsid w:val="00477F56"/>
    <w:rsid w:val="004809B4"/>
    <w:rsid w:val="00481DCB"/>
    <w:rsid w:val="00481E28"/>
    <w:rsid w:val="004827E5"/>
    <w:rsid w:val="00482A93"/>
    <w:rsid w:val="00482D4D"/>
    <w:rsid w:val="00482DA5"/>
    <w:rsid w:val="0048335D"/>
    <w:rsid w:val="00483795"/>
    <w:rsid w:val="00484116"/>
    <w:rsid w:val="00484248"/>
    <w:rsid w:val="00484615"/>
    <w:rsid w:val="00484A6C"/>
    <w:rsid w:val="00484E09"/>
    <w:rsid w:val="0048549C"/>
    <w:rsid w:val="00485B0C"/>
    <w:rsid w:val="004863B2"/>
    <w:rsid w:val="00486F7B"/>
    <w:rsid w:val="004870BA"/>
    <w:rsid w:val="004873C5"/>
    <w:rsid w:val="004875A3"/>
    <w:rsid w:val="004876AC"/>
    <w:rsid w:val="004906D9"/>
    <w:rsid w:val="004906DD"/>
    <w:rsid w:val="00490B25"/>
    <w:rsid w:val="00492821"/>
    <w:rsid w:val="00493358"/>
    <w:rsid w:val="004935C6"/>
    <w:rsid w:val="00493698"/>
    <w:rsid w:val="00493852"/>
    <w:rsid w:val="00493DB1"/>
    <w:rsid w:val="004951D0"/>
    <w:rsid w:val="004954DA"/>
    <w:rsid w:val="00496104"/>
    <w:rsid w:val="004968C4"/>
    <w:rsid w:val="00496952"/>
    <w:rsid w:val="00496E2B"/>
    <w:rsid w:val="004A026F"/>
    <w:rsid w:val="004A0A23"/>
    <w:rsid w:val="004A0A30"/>
    <w:rsid w:val="004A0E2D"/>
    <w:rsid w:val="004A0F15"/>
    <w:rsid w:val="004A1389"/>
    <w:rsid w:val="004A13D3"/>
    <w:rsid w:val="004A16FA"/>
    <w:rsid w:val="004A18F9"/>
    <w:rsid w:val="004A1AF1"/>
    <w:rsid w:val="004A1D52"/>
    <w:rsid w:val="004A1E90"/>
    <w:rsid w:val="004A2384"/>
    <w:rsid w:val="004A2F46"/>
    <w:rsid w:val="004A32B5"/>
    <w:rsid w:val="004A369A"/>
    <w:rsid w:val="004A36D2"/>
    <w:rsid w:val="004A4640"/>
    <w:rsid w:val="004A491C"/>
    <w:rsid w:val="004A4B1D"/>
    <w:rsid w:val="004A4E81"/>
    <w:rsid w:val="004A5EAF"/>
    <w:rsid w:val="004A6069"/>
    <w:rsid w:val="004A612C"/>
    <w:rsid w:val="004A6416"/>
    <w:rsid w:val="004A6548"/>
    <w:rsid w:val="004A65EE"/>
    <w:rsid w:val="004A6968"/>
    <w:rsid w:val="004A6C17"/>
    <w:rsid w:val="004A7003"/>
    <w:rsid w:val="004A706C"/>
    <w:rsid w:val="004A70BA"/>
    <w:rsid w:val="004A7950"/>
    <w:rsid w:val="004B0497"/>
    <w:rsid w:val="004B15B3"/>
    <w:rsid w:val="004B1E19"/>
    <w:rsid w:val="004B1F01"/>
    <w:rsid w:val="004B28CE"/>
    <w:rsid w:val="004B33E7"/>
    <w:rsid w:val="004B3B95"/>
    <w:rsid w:val="004B3C0E"/>
    <w:rsid w:val="004B3D8A"/>
    <w:rsid w:val="004B3F5C"/>
    <w:rsid w:val="004B40FC"/>
    <w:rsid w:val="004B4279"/>
    <w:rsid w:val="004B450A"/>
    <w:rsid w:val="004B49A9"/>
    <w:rsid w:val="004B49F5"/>
    <w:rsid w:val="004B54B3"/>
    <w:rsid w:val="004B5B14"/>
    <w:rsid w:val="004B5D74"/>
    <w:rsid w:val="004B63D5"/>
    <w:rsid w:val="004B71D6"/>
    <w:rsid w:val="004B74F6"/>
    <w:rsid w:val="004B755D"/>
    <w:rsid w:val="004B7865"/>
    <w:rsid w:val="004B7DB7"/>
    <w:rsid w:val="004C052B"/>
    <w:rsid w:val="004C09F1"/>
    <w:rsid w:val="004C0A7E"/>
    <w:rsid w:val="004C0C46"/>
    <w:rsid w:val="004C12AB"/>
    <w:rsid w:val="004C1433"/>
    <w:rsid w:val="004C1747"/>
    <w:rsid w:val="004C1B93"/>
    <w:rsid w:val="004C1ED7"/>
    <w:rsid w:val="004C1F5A"/>
    <w:rsid w:val="004C1FD0"/>
    <w:rsid w:val="004C22DD"/>
    <w:rsid w:val="004C2A79"/>
    <w:rsid w:val="004C2EB2"/>
    <w:rsid w:val="004C3280"/>
    <w:rsid w:val="004C3459"/>
    <w:rsid w:val="004C3A74"/>
    <w:rsid w:val="004C4BC3"/>
    <w:rsid w:val="004C5127"/>
    <w:rsid w:val="004C5904"/>
    <w:rsid w:val="004C67DD"/>
    <w:rsid w:val="004C729C"/>
    <w:rsid w:val="004C78FB"/>
    <w:rsid w:val="004C7A1E"/>
    <w:rsid w:val="004C7C1C"/>
    <w:rsid w:val="004D0D2B"/>
    <w:rsid w:val="004D19AB"/>
    <w:rsid w:val="004D1BFF"/>
    <w:rsid w:val="004D1F50"/>
    <w:rsid w:val="004D2243"/>
    <w:rsid w:val="004D25BB"/>
    <w:rsid w:val="004D273E"/>
    <w:rsid w:val="004D2FE5"/>
    <w:rsid w:val="004D3459"/>
    <w:rsid w:val="004D3EA9"/>
    <w:rsid w:val="004D43EE"/>
    <w:rsid w:val="004D43F4"/>
    <w:rsid w:val="004D4502"/>
    <w:rsid w:val="004D4763"/>
    <w:rsid w:val="004D4C25"/>
    <w:rsid w:val="004D50D5"/>
    <w:rsid w:val="004D53F9"/>
    <w:rsid w:val="004D5CDC"/>
    <w:rsid w:val="004D6471"/>
    <w:rsid w:val="004D6752"/>
    <w:rsid w:val="004D6817"/>
    <w:rsid w:val="004D6B46"/>
    <w:rsid w:val="004D6D6F"/>
    <w:rsid w:val="004D745E"/>
    <w:rsid w:val="004E0308"/>
    <w:rsid w:val="004E0711"/>
    <w:rsid w:val="004E08E8"/>
    <w:rsid w:val="004E0E87"/>
    <w:rsid w:val="004E0ED8"/>
    <w:rsid w:val="004E1174"/>
    <w:rsid w:val="004E13D0"/>
    <w:rsid w:val="004E16D9"/>
    <w:rsid w:val="004E177C"/>
    <w:rsid w:val="004E18F4"/>
    <w:rsid w:val="004E1E60"/>
    <w:rsid w:val="004E1F4F"/>
    <w:rsid w:val="004E210F"/>
    <w:rsid w:val="004E2827"/>
    <w:rsid w:val="004E3525"/>
    <w:rsid w:val="004E43EC"/>
    <w:rsid w:val="004E442E"/>
    <w:rsid w:val="004E5565"/>
    <w:rsid w:val="004E5588"/>
    <w:rsid w:val="004E5CC2"/>
    <w:rsid w:val="004E60B3"/>
    <w:rsid w:val="004E6444"/>
    <w:rsid w:val="004E65D2"/>
    <w:rsid w:val="004E68D9"/>
    <w:rsid w:val="004E6BB5"/>
    <w:rsid w:val="004E6D34"/>
    <w:rsid w:val="004E718E"/>
    <w:rsid w:val="004E7CD5"/>
    <w:rsid w:val="004F002D"/>
    <w:rsid w:val="004F00A5"/>
    <w:rsid w:val="004F0446"/>
    <w:rsid w:val="004F0492"/>
    <w:rsid w:val="004F04FD"/>
    <w:rsid w:val="004F0C45"/>
    <w:rsid w:val="004F0D7B"/>
    <w:rsid w:val="004F1284"/>
    <w:rsid w:val="004F1748"/>
    <w:rsid w:val="004F19EE"/>
    <w:rsid w:val="004F1CBC"/>
    <w:rsid w:val="004F2418"/>
    <w:rsid w:val="004F2437"/>
    <w:rsid w:val="004F26FA"/>
    <w:rsid w:val="004F2729"/>
    <w:rsid w:val="004F295D"/>
    <w:rsid w:val="004F2ADE"/>
    <w:rsid w:val="004F2B77"/>
    <w:rsid w:val="004F333E"/>
    <w:rsid w:val="004F34F0"/>
    <w:rsid w:val="004F3A9C"/>
    <w:rsid w:val="004F41D6"/>
    <w:rsid w:val="004F4BC9"/>
    <w:rsid w:val="004F5A5D"/>
    <w:rsid w:val="004F5BFB"/>
    <w:rsid w:val="004F6573"/>
    <w:rsid w:val="004F65EB"/>
    <w:rsid w:val="004F6BEA"/>
    <w:rsid w:val="004F7E8D"/>
    <w:rsid w:val="00500331"/>
    <w:rsid w:val="005003BE"/>
    <w:rsid w:val="0050101E"/>
    <w:rsid w:val="0050188A"/>
    <w:rsid w:val="00501C26"/>
    <w:rsid w:val="00501E7B"/>
    <w:rsid w:val="005024F5"/>
    <w:rsid w:val="00502F24"/>
    <w:rsid w:val="00503002"/>
    <w:rsid w:val="0050324D"/>
    <w:rsid w:val="00503285"/>
    <w:rsid w:val="005032A0"/>
    <w:rsid w:val="00503858"/>
    <w:rsid w:val="00504112"/>
    <w:rsid w:val="005043BF"/>
    <w:rsid w:val="005044F1"/>
    <w:rsid w:val="005046F0"/>
    <w:rsid w:val="00504C50"/>
    <w:rsid w:val="005051F7"/>
    <w:rsid w:val="00505491"/>
    <w:rsid w:val="00505D37"/>
    <w:rsid w:val="00505D85"/>
    <w:rsid w:val="005064F8"/>
    <w:rsid w:val="00506C2C"/>
    <w:rsid w:val="00506E71"/>
    <w:rsid w:val="00506FC2"/>
    <w:rsid w:val="00507969"/>
    <w:rsid w:val="00507B44"/>
    <w:rsid w:val="0051033E"/>
    <w:rsid w:val="00510F3A"/>
    <w:rsid w:val="00511307"/>
    <w:rsid w:val="0051159D"/>
    <w:rsid w:val="00511AEB"/>
    <w:rsid w:val="00511B83"/>
    <w:rsid w:val="0051245A"/>
    <w:rsid w:val="005137C5"/>
    <w:rsid w:val="005137EB"/>
    <w:rsid w:val="00513E4B"/>
    <w:rsid w:val="00513F03"/>
    <w:rsid w:val="0051417D"/>
    <w:rsid w:val="00514368"/>
    <w:rsid w:val="0051450B"/>
    <w:rsid w:val="0051536C"/>
    <w:rsid w:val="005154A9"/>
    <w:rsid w:val="00515DED"/>
    <w:rsid w:val="005162F7"/>
    <w:rsid w:val="00516473"/>
    <w:rsid w:val="00516AAD"/>
    <w:rsid w:val="0051765C"/>
    <w:rsid w:val="0051797B"/>
    <w:rsid w:val="0052041E"/>
    <w:rsid w:val="00520AED"/>
    <w:rsid w:val="00520B77"/>
    <w:rsid w:val="00520CEF"/>
    <w:rsid w:val="00520E43"/>
    <w:rsid w:val="00521BA0"/>
    <w:rsid w:val="00521E6F"/>
    <w:rsid w:val="0052203F"/>
    <w:rsid w:val="00522106"/>
    <w:rsid w:val="005221B3"/>
    <w:rsid w:val="00522B05"/>
    <w:rsid w:val="005234C3"/>
    <w:rsid w:val="005234DE"/>
    <w:rsid w:val="00524246"/>
    <w:rsid w:val="00524464"/>
    <w:rsid w:val="00524A4B"/>
    <w:rsid w:val="00524FA5"/>
    <w:rsid w:val="005257C7"/>
    <w:rsid w:val="00526106"/>
    <w:rsid w:val="00526954"/>
    <w:rsid w:val="00526B7C"/>
    <w:rsid w:val="00526DE2"/>
    <w:rsid w:val="00527400"/>
    <w:rsid w:val="00527480"/>
    <w:rsid w:val="00527E54"/>
    <w:rsid w:val="00530062"/>
    <w:rsid w:val="0053097B"/>
    <w:rsid w:val="00530CD4"/>
    <w:rsid w:val="00530D0D"/>
    <w:rsid w:val="0053121C"/>
    <w:rsid w:val="00532BD7"/>
    <w:rsid w:val="00532E2B"/>
    <w:rsid w:val="00532EA8"/>
    <w:rsid w:val="00532F54"/>
    <w:rsid w:val="00533B5D"/>
    <w:rsid w:val="00533E65"/>
    <w:rsid w:val="0053423C"/>
    <w:rsid w:val="00535F9E"/>
    <w:rsid w:val="005368B4"/>
    <w:rsid w:val="00537268"/>
    <w:rsid w:val="00537637"/>
    <w:rsid w:val="00537B5F"/>
    <w:rsid w:val="0054012B"/>
    <w:rsid w:val="00540191"/>
    <w:rsid w:val="00540DE1"/>
    <w:rsid w:val="005412F7"/>
    <w:rsid w:val="00541533"/>
    <w:rsid w:val="00542FA1"/>
    <w:rsid w:val="005437F1"/>
    <w:rsid w:val="0054394E"/>
    <w:rsid w:val="00543A6E"/>
    <w:rsid w:val="00543ADE"/>
    <w:rsid w:val="005442F6"/>
    <w:rsid w:val="0054443F"/>
    <w:rsid w:val="005449E2"/>
    <w:rsid w:val="00544A6B"/>
    <w:rsid w:val="00544FAB"/>
    <w:rsid w:val="0054508A"/>
    <w:rsid w:val="005453B2"/>
    <w:rsid w:val="005457B4"/>
    <w:rsid w:val="005457FD"/>
    <w:rsid w:val="00545B71"/>
    <w:rsid w:val="00545E76"/>
    <w:rsid w:val="00545E7D"/>
    <w:rsid w:val="00546086"/>
    <w:rsid w:val="005461FF"/>
    <w:rsid w:val="00546DB3"/>
    <w:rsid w:val="0054702F"/>
    <w:rsid w:val="005473F7"/>
    <w:rsid w:val="005474D6"/>
    <w:rsid w:val="00547667"/>
    <w:rsid w:val="00547744"/>
    <w:rsid w:val="00547B52"/>
    <w:rsid w:val="00547BF2"/>
    <w:rsid w:val="00547CFB"/>
    <w:rsid w:val="00547CFE"/>
    <w:rsid w:val="005504E2"/>
    <w:rsid w:val="005505A9"/>
    <w:rsid w:val="005506A0"/>
    <w:rsid w:val="00551190"/>
    <w:rsid w:val="005517D3"/>
    <w:rsid w:val="0055208D"/>
    <w:rsid w:val="00552176"/>
    <w:rsid w:val="0055228E"/>
    <w:rsid w:val="00552E75"/>
    <w:rsid w:val="00553E12"/>
    <w:rsid w:val="0055491D"/>
    <w:rsid w:val="00554F90"/>
    <w:rsid w:val="0055529A"/>
    <w:rsid w:val="005555F3"/>
    <w:rsid w:val="00555C6C"/>
    <w:rsid w:val="00556033"/>
    <w:rsid w:val="005569F7"/>
    <w:rsid w:val="00556B74"/>
    <w:rsid w:val="00556FFF"/>
    <w:rsid w:val="00557BFD"/>
    <w:rsid w:val="0056068D"/>
    <w:rsid w:val="00560984"/>
    <w:rsid w:val="00560BC0"/>
    <w:rsid w:val="00560E09"/>
    <w:rsid w:val="00560E28"/>
    <w:rsid w:val="00560EB7"/>
    <w:rsid w:val="005616F3"/>
    <w:rsid w:val="00561917"/>
    <w:rsid w:val="00561CCF"/>
    <w:rsid w:val="00561DF8"/>
    <w:rsid w:val="0056260F"/>
    <w:rsid w:val="005627C1"/>
    <w:rsid w:val="00562BDF"/>
    <w:rsid w:val="005633CA"/>
    <w:rsid w:val="005639EB"/>
    <w:rsid w:val="00563AA8"/>
    <w:rsid w:val="005648BE"/>
    <w:rsid w:val="005648D7"/>
    <w:rsid w:val="00564F21"/>
    <w:rsid w:val="00564FB1"/>
    <w:rsid w:val="005654AD"/>
    <w:rsid w:val="00565D0F"/>
    <w:rsid w:val="00566174"/>
    <w:rsid w:val="00566D4C"/>
    <w:rsid w:val="00566F8E"/>
    <w:rsid w:val="005671E7"/>
    <w:rsid w:val="00567958"/>
    <w:rsid w:val="00567C76"/>
    <w:rsid w:val="005700DE"/>
    <w:rsid w:val="005708AB"/>
    <w:rsid w:val="0057124A"/>
    <w:rsid w:val="0057124D"/>
    <w:rsid w:val="005717E6"/>
    <w:rsid w:val="00571B78"/>
    <w:rsid w:val="00571DE1"/>
    <w:rsid w:val="00572580"/>
    <w:rsid w:val="0057337C"/>
    <w:rsid w:val="0057384A"/>
    <w:rsid w:val="00573E74"/>
    <w:rsid w:val="005741DA"/>
    <w:rsid w:val="005746F7"/>
    <w:rsid w:val="00574C51"/>
    <w:rsid w:val="00575283"/>
    <w:rsid w:val="00575453"/>
    <w:rsid w:val="00575E06"/>
    <w:rsid w:val="00576943"/>
    <w:rsid w:val="00576C1C"/>
    <w:rsid w:val="005775B9"/>
    <w:rsid w:val="00577B0F"/>
    <w:rsid w:val="00577EBB"/>
    <w:rsid w:val="0058020F"/>
    <w:rsid w:val="005803E3"/>
    <w:rsid w:val="005804AC"/>
    <w:rsid w:val="00580616"/>
    <w:rsid w:val="00580C08"/>
    <w:rsid w:val="00581168"/>
    <w:rsid w:val="00581177"/>
    <w:rsid w:val="005817EF"/>
    <w:rsid w:val="00581A0A"/>
    <w:rsid w:val="00581D50"/>
    <w:rsid w:val="00581D60"/>
    <w:rsid w:val="00581EA8"/>
    <w:rsid w:val="00581F1D"/>
    <w:rsid w:val="00581F1F"/>
    <w:rsid w:val="00582188"/>
    <w:rsid w:val="005822B2"/>
    <w:rsid w:val="005825E9"/>
    <w:rsid w:val="005827EC"/>
    <w:rsid w:val="0058280A"/>
    <w:rsid w:val="00583790"/>
    <w:rsid w:val="005838C8"/>
    <w:rsid w:val="00584068"/>
    <w:rsid w:val="0058462B"/>
    <w:rsid w:val="00584A9F"/>
    <w:rsid w:val="00584BD0"/>
    <w:rsid w:val="005855C9"/>
    <w:rsid w:val="00585F6A"/>
    <w:rsid w:val="005860A6"/>
    <w:rsid w:val="005864D1"/>
    <w:rsid w:val="005868DD"/>
    <w:rsid w:val="00586C3D"/>
    <w:rsid w:val="00586D4D"/>
    <w:rsid w:val="00587123"/>
    <w:rsid w:val="005871D8"/>
    <w:rsid w:val="00587757"/>
    <w:rsid w:val="00587EC9"/>
    <w:rsid w:val="005902A7"/>
    <w:rsid w:val="00590315"/>
    <w:rsid w:val="0059032D"/>
    <w:rsid w:val="005913E4"/>
    <w:rsid w:val="00591947"/>
    <w:rsid w:val="00591DEA"/>
    <w:rsid w:val="00591F5A"/>
    <w:rsid w:val="005924EA"/>
    <w:rsid w:val="00592987"/>
    <w:rsid w:val="00592D75"/>
    <w:rsid w:val="00592ECB"/>
    <w:rsid w:val="00594032"/>
    <w:rsid w:val="0059461A"/>
    <w:rsid w:val="005946AE"/>
    <w:rsid w:val="005947C3"/>
    <w:rsid w:val="00594D8C"/>
    <w:rsid w:val="0059556F"/>
    <w:rsid w:val="00595966"/>
    <w:rsid w:val="0059597B"/>
    <w:rsid w:val="00595C11"/>
    <w:rsid w:val="00595E04"/>
    <w:rsid w:val="00596891"/>
    <w:rsid w:val="005969CF"/>
    <w:rsid w:val="00596CF2"/>
    <w:rsid w:val="00597462"/>
    <w:rsid w:val="00597758"/>
    <w:rsid w:val="00597B6B"/>
    <w:rsid w:val="005A024D"/>
    <w:rsid w:val="005A03FB"/>
    <w:rsid w:val="005A0A2E"/>
    <w:rsid w:val="005A102F"/>
    <w:rsid w:val="005A1194"/>
    <w:rsid w:val="005A1267"/>
    <w:rsid w:val="005A17B5"/>
    <w:rsid w:val="005A1BBB"/>
    <w:rsid w:val="005A1C1C"/>
    <w:rsid w:val="005A249F"/>
    <w:rsid w:val="005A2AD7"/>
    <w:rsid w:val="005A2F2E"/>
    <w:rsid w:val="005A35B2"/>
    <w:rsid w:val="005A362E"/>
    <w:rsid w:val="005A3847"/>
    <w:rsid w:val="005A3EFD"/>
    <w:rsid w:val="005A480B"/>
    <w:rsid w:val="005A4A8E"/>
    <w:rsid w:val="005A4AF3"/>
    <w:rsid w:val="005A4F34"/>
    <w:rsid w:val="005A59A7"/>
    <w:rsid w:val="005A7653"/>
    <w:rsid w:val="005A7694"/>
    <w:rsid w:val="005A797B"/>
    <w:rsid w:val="005A7B2F"/>
    <w:rsid w:val="005A7FB3"/>
    <w:rsid w:val="005B070F"/>
    <w:rsid w:val="005B0D59"/>
    <w:rsid w:val="005B0F78"/>
    <w:rsid w:val="005B1422"/>
    <w:rsid w:val="005B2092"/>
    <w:rsid w:val="005B267B"/>
    <w:rsid w:val="005B2898"/>
    <w:rsid w:val="005B32D8"/>
    <w:rsid w:val="005B38A2"/>
    <w:rsid w:val="005B393C"/>
    <w:rsid w:val="005B3B1F"/>
    <w:rsid w:val="005B45E4"/>
    <w:rsid w:val="005B4858"/>
    <w:rsid w:val="005B4EFC"/>
    <w:rsid w:val="005B5ACB"/>
    <w:rsid w:val="005B6F72"/>
    <w:rsid w:val="005B6FDE"/>
    <w:rsid w:val="005B73FA"/>
    <w:rsid w:val="005B7465"/>
    <w:rsid w:val="005B79D2"/>
    <w:rsid w:val="005B7C5C"/>
    <w:rsid w:val="005C00DE"/>
    <w:rsid w:val="005C0CC2"/>
    <w:rsid w:val="005C0FD6"/>
    <w:rsid w:val="005C10E1"/>
    <w:rsid w:val="005C128A"/>
    <w:rsid w:val="005C1397"/>
    <w:rsid w:val="005C153B"/>
    <w:rsid w:val="005C18E1"/>
    <w:rsid w:val="005C2197"/>
    <w:rsid w:val="005C2842"/>
    <w:rsid w:val="005C2C86"/>
    <w:rsid w:val="005C2D27"/>
    <w:rsid w:val="005C321B"/>
    <w:rsid w:val="005C3478"/>
    <w:rsid w:val="005C3CDD"/>
    <w:rsid w:val="005C3ED5"/>
    <w:rsid w:val="005C4093"/>
    <w:rsid w:val="005C4300"/>
    <w:rsid w:val="005C4636"/>
    <w:rsid w:val="005C468A"/>
    <w:rsid w:val="005C5099"/>
    <w:rsid w:val="005C5110"/>
    <w:rsid w:val="005C61A4"/>
    <w:rsid w:val="005C62D4"/>
    <w:rsid w:val="005C6457"/>
    <w:rsid w:val="005C65AA"/>
    <w:rsid w:val="005C6BF4"/>
    <w:rsid w:val="005C6CBE"/>
    <w:rsid w:val="005C6F0C"/>
    <w:rsid w:val="005C73DD"/>
    <w:rsid w:val="005C7476"/>
    <w:rsid w:val="005C77C5"/>
    <w:rsid w:val="005C7D45"/>
    <w:rsid w:val="005C7EEE"/>
    <w:rsid w:val="005D0585"/>
    <w:rsid w:val="005D0787"/>
    <w:rsid w:val="005D08D6"/>
    <w:rsid w:val="005D0E22"/>
    <w:rsid w:val="005D10D7"/>
    <w:rsid w:val="005D1338"/>
    <w:rsid w:val="005D1C6C"/>
    <w:rsid w:val="005D242F"/>
    <w:rsid w:val="005D29A0"/>
    <w:rsid w:val="005D359B"/>
    <w:rsid w:val="005D3DAD"/>
    <w:rsid w:val="005D41E3"/>
    <w:rsid w:val="005D4474"/>
    <w:rsid w:val="005D45EF"/>
    <w:rsid w:val="005D46F8"/>
    <w:rsid w:val="005D4BFF"/>
    <w:rsid w:val="005D5138"/>
    <w:rsid w:val="005D5799"/>
    <w:rsid w:val="005D59A7"/>
    <w:rsid w:val="005D5D9B"/>
    <w:rsid w:val="005D66EE"/>
    <w:rsid w:val="005D6BCF"/>
    <w:rsid w:val="005D6DBC"/>
    <w:rsid w:val="005D6ED6"/>
    <w:rsid w:val="005D70D1"/>
    <w:rsid w:val="005D7825"/>
    <w:rsid w:val="005E06D9"/>
    <w:rsid w:val="005E11C1"/>
    <w:rsid w:val="005E145B"/>
    <w:rsid w:val="005E147B"/>
    <w:rsid w:val="005E2C03"/>
    <w:rsid w:val="005E2D85"/>
    <w:rsid w:val="005E3360"/>
    <w:rsid w:val="005E3D25"/>
    <w:rsid w:val="005E3FB7"/>
    <w:rsid w:val="005E40AA"/>
    <w:rsid w:val="005E413E"/>
    <w:rsid w:val="005E4211"/>
    <w:rsid w:val="005E443C"/>
    <w:rsid w:val="005E4BE1"/>
    <w:rsid w:val="005E4D6A"/>
    <w:rsid w:val="005E507F"/>
    <w:rsid w:val="005E5B32"/>
    <w:rsid w:val="005E7003"/>
    <w:rsid w:val="005E7142"/>
    <w:rsid w:val="005E74DC"/>
    <w:rsid w:val="005E764E"/>
    <w:rsid w:val="005E7A1C"/>
    <w:rsid w:val="005E7ACA"/>
    <w:rsid w:val="005E7B08"/>
    <w:rsid w:val="005F011F"/>
    <w:rsid w:val="005F10AC"/>
    <w:rsid w:val="005F15CD"/>
    <w:rsid w:val="005F1F01"/>
    <w:rsid w:val="005F2066"/>
    <w:rsid w:val="005F21D6"/>
    <w:rsid w:val="005F3085"/>
    <w:rsid w:val="005F326B"/>
    <w:rsid w:val="005F37D1"/>
    <w:rsid w:val="005F385F"/>
    <w:rsid w:val="005F3A7A"/>
    <w:rsid w:val="005F3A8E"/>
    <w:rsid w:val="005F42C6"/>
    <w:rsid w:val="005F485A"/>
    <w:rsid w:val="005F4BA9"/>
    <w:rsid w:val="005F52C6"/>
    <w:rsid w:val="005F53E6"/>
    <w:rsid w:val="005F54D4"/>
    <w:rsid w:val="005F5784"/>
    <w:rsid w:val="005F6357"/>
    <w:rsid w:val="005F66F3"/>
    <w:rsid w:val="005F6D1C"/>
    <w:rsid w:val="005F726D"/>
    <w:rsid w:val="005F7A0A"/>
    <w:rsid w:val="005F7B66"/>
    <w:rsid w:val="006001B0"/>
    <w:rsid w:val="00600278"/>
    <w:rsid w:val="006006E3"/>
    <w:rsid w:val="00600A4F"/>
    <w:rsid w:val="00600FE1"/>
    <w:rsid w:val="0060144A"/>
    <w:rsid w:val="006015EF"/>
    <w:rsid w:val="00601CD9"/>
    <w:rsid w:val="00602357"/>
    <w:rsid w:val="00602424"/>
    <w:rsid w:val="0060292D"/>
    <w:rsid w:val="006030FB"/>
    <w:rsid w:val="006031C3"/>
    <w:rsid w:val="006035E1"/>
    <w:rsid w:val="006039A0"/>
    <w:rsid w:val="00603A71"/>
    <w:rsid w:val="00603E24"/>
    <w:rsid w:val="00604781"/>
    <w:rsid w:val="00604BF5"/>
    <w:rsid w:val="00604E92"/>
    <w:rsid w:val="006050DA"/>
    <w:rsid w:val="0060519C"/>
    <w:rsid w:val="00605D10"/>
    <w:rsid w:val="00606FBB"/>
    <w:rsid w:val="00606FDD"/>
    <w:rsid w:val="006073EF"/>
    <w:rsid w:val="0060748E"/>
    <w:rsid w:val="00607DE2"/>
    <w:rsid w:val="006104D4"/>
    <w:rsid w:val="006107BC"/>
    <w:rsid w:val="00610CE1"/>
    <w:rsid w:val="00611F4C"/>
    <w:rsid w:val="00611F5E"/>
    <w:rsid w:val="006121E6"/>
    <w:rsid w:val="00612C1B"/>
    <w:rsid w:val="00612D9D"/>
    <w:rsid w:val="00612E9B"/>
    <w:rsid w:val="00613122"/>
    <w:rsid w:val="006131CA"/>
    <w:rsid w:val="00613339"/>
    <w:rsid w:val="00613993"/>
    <w:rsid w:val="00613AE3"/>
    <w:rsid w:val="00614057"/>
    <w:rsid w:val="006145D3"/>
    <w:rsid w:val="0061470C"/>
    <w:rsid w:val="00614C2C"/>
    <w:rsid w:val="00615046"/>
    <w:rsid w:val="00615976"/>
    <w:rsid w:val="00615CAE"/>
    <w:rsid w:val="006162EA"/>
    <w:rsid w:val="00616A57"/>
    <w:rsid w:val="00616CC2"/>
    <w:rsid w:val="0061771F"/>
    <w:rsid w:val="00620037"/>
    <w:rsid w:val="0062007F"/>
    <w:rsid w:val="006202C2"/>
    <w:rsid w:val="00620318"/>
    <w:rsid w:val="006208B3"/>
    <w:rsid w:val="006208E9"/>
    <w:rsid w:val="00620A7F"/>
    <w:rsid w:val="00621AFC"/>
    <w:rsid w:val="00621C13"/>
    <w:rsid w:val="00622053"/>
    <w:rsid w:val="006221E5"/>
    <w:rsid w:val="006238FE"/>
    <w:rsid w:val="00623D55"/>
    <w:rsid w:val="00623F45"/>
    <w:rsid w:val="00623F63"/>
    <w:rsid w:val="00624063"/>
    <w:rsid w:val="006240FF"/>
    <w:rsid w:val="006244D1"/>
    <w:rsid w:val="00624954"/>
    <w:rsid w:val="006259AD"/>
    <w:rsid w:val="00625FFA"/>
    <w:rsid w:val="006266DA"/>
    <w:rsid w:val="00626B71"/>
    <w:rsid w:val="00627801"/>
    <w:rsid w:val="00627D27"/>
    <w:rsid w:val="00627D45"/>
    <w:rsid w:val="0063064E"/>
    <w:rsid w:val="00630981"/>
    <w:rsid w:val="006314CF"/>
    <w:rsid w:val="00631DEF"/>
    <w:rsid w:val="00631EA6"/>
    <w:rsid w:val="0063243F"/>
    <w:rsid w:val="00632DA2"/>
    <w:rsid w:val="0063395C"/>
    <w:rsid w:val="00633B58"/>
    <w:rsid w:val="00635353"/>
    <w:rsid w:val="00635B3E"/>
    <w:rsid w:val="00636709"/>
    <w:rsid w:val="00636E9C"/>
    <w:rsid w:val="00636FED"/>
    <w:rsid w:val="00637226"/>
    <w:rsid w:val="0063754B"/>
    <w:rsid w:val="00640FB8"/>
    <w:rsid w:val="006415CB"/>
    <w:rsid w:val="00641894"/>
    <w:rsid w:val="00642185"/>
    <w:rsid w:val="00642941"/>
    <w:rsid w:val="0064306D"/>
    <w:rsid w:val="006430A5"/>
    <w:rsid w:val="00643226"/>
    <w:rsid w:val="0064328D"/>
    <w:rsid w:val="00643877"/>
    <w:rsid w:val="0064421D"/>
    <w:rsid w:val="00644683"/>
    <w:rsid w:val="006447C7"/>
    <w:rsid w:val="00644F6A"/>
    <w:rsid w:val="00645151"/>
    <w:rsid w:val="00645389"/>
    <w:rsid w:val="006454BA"/>
    <w:rsid w:val="00645587"/>
    <w:rsid w:val="00645D49"/>
    <w:rsid w:val="00646239"/>
    <w:rsid w:val="006464DB"/>
    <w:rsid w:val="0064683C"/>
    <w:rsid w:val="00646BF7"/>
    <w:rsid w:val="006475F2"/>
    <w:rsid w:val="00647B5E"/>
    <w:rsid w:val="00647F3A"/>
    <w:rsid w:val="0065032F"/>
    <w:rsid w:val="0065080D"/>
    <w:rsid w:val="00650890"/>
    <w:rsid w:val="006511B1"/>
    <w:rsid w:val="006511CB"/>
    <w:rsid w:val="00651828"/>
    <w:rsid w:val="006518AA"/>
    <w:rsid w:val="00651D0A"/>
    <w:rsid w:val="006520A3"/>
    <w:rsid w:val="00652A5A"/>
    <w:rsid w:val="00653024"/>
    <w:rsid w:val="0065352A"/>
    <w:rsid w:val="00653781"/>
    <w:rsid w:val="00653E45"/>
    <w:rsid w:val="006542F4"/>
    <w:rsid w:val="00654517"/>
    <w:rsid w:val="00654D69"/>
    <w:rsid w:val="00654F42"/>
    <w:rsid w:val="006553CE"/>
    <w:rsid w:val="006556CC"/>
    <w:rsid w:val="00655911"/>
    <w:rsid w:val="00655B2C"/>
    <w:rsid w:val="00655FB6"/>
    <w:rsid w:val="006572C6"/>
    <w:rsid w:val="006610C9"/>
    <w:rsid w:val="00661B35"/>
    <w:rsid w:val="00661E33"/>
    <w:rsid w:val="00662158"/>
    <w:rsid w:val="0066249D"/>
    <w:rsid w:val="00662AA2"/>
    <w:rsid w:val="006630DB"/>
    <w:rsid w:val="006637F5"/>
    <w:rsid w:val="00663906"/>
    <w:rsid w:val="00663A69"/>
    <w:rsid w:val="00663AB4"/>
    <w:rsid w:val="006642A9"/>
    <w:rsid w:val="00664961"/>
    <w:rsid w:val="00664B34"/>
    <w:rsid w:val="00665186"/>
    <w:rsid w:val="00665965"/>
    <w:rsid w:val="00665CCA"/>
    <w:rsid w:val="00665D43"/>
    <w:rsid w:val="00666176"/>
    <w:rsid w:val="00666598"/>
    <w:rsid w:val="006667FD"/>
    <w:rsid w:val="00666FAA"/>
    <w:rsid w:val="006673D1"/>
    <w:rsid w:val="006679A4"/>
    <w:rsid w:val="006707B6"/>
    <w:rsid w:val="00671180"/>
    <w:rsid w:val="006711CB"/>
    <w:rsid w:val="00671682"/>
    <w:rsid w:val="006716AC"/>
    <w:rsid w:val="00672115"/>
    <w:rsid w:val="0067218C"/>
    <w:rsid w:val="006727EF"/>
    <w:rsid w:val="00673B02"/>
    <w:rsid w:val="00673EB3"/>
    <w:rsid w:val="006742A1"/>
    <w:rsid w:val="0067435E"/>
    <w:rsid w:val="0067496C"/>
    <w:rsid w:val="006749F7"/>
    <w:rsid w:val="00674B16"/>
    <w:rsid w:val="00675315"/>
    <w:rsid w:val="0067535E"/>
    <w:rsid w:val="00675472"/>
    <w:rsid w:val="00677CA6"/>
    <w:rsid w:val="006807AA"/>
    <w:rsid w:val="006809A3"/>
    <w:rsid w:val="0068131D"/>
    <w:rsid w:val="00681880"/>
    <w:rsid w:val="00681D3F"/>
    <w:rsid w:val="00682FE7"/>
    <w:rsid w:val="00683463"/>
    <w:rsid w:val="006838E8"/>
    <w:rsid w:val="00683A14"/>
    <w:rsid w:val="00683C05"/>
    <w:rsid w:val="006845C5"/>
    <w:rsid w:val="006848AE"/>
    <w:rsid w:val="00684953"/>
    <w:rsid w:val="00684BA0"/>
    <w:rsid w:val="00684D57"/>
    <w:rsid w:val="00685075"/>
    <w:rsid w:val="0068529A"/>
    <w:rsid w:val="006853C9"/>
    <w:rsid w:val="00685400"/>
    <w:rsid w:val="006855C6"/>
    <w:rsid w:val="00685ADF"/>
    <w:rsid w:val="006860A0"/>
    <w:rsid w:val="006865B4"/>
    <w:rsid w:val="00686690"/>
    <w:rsid w:val="00687497"/>
    <w:rsid w:val="0069004F"/>
    <w:rsid w:val="0069086D"/>
    <w:rsid w:val="0069089A"/>
    <w:rsid w:val="006909E3"/>
    <w:rsid w:val="0069114E"/>
    <w:rsid w:val="00691188"/>
    <w:rsid w:val="006920B7"/>
    <w:rsid w:val="0069252A"/>
    <w:rsid w:val="00692A4A"/>
    <w:rsid w:val="00694937"/>
    <w:rsid w:val="00694C7A"/>
    <w:rsid w:val="00694E4E"/>
    <w:rsid w:val="00695141"/>
    <w:rsid w:val="00695F53"/>
    <w:rsid w:val="00696399"/>
    <w:rsid w:val="00697204"/>
    <w:rsid w:val="00697C05"/>
    <w:rsid w:val="00697E2B"/>
    <w:rsid w:val="006A00CB"/>
    <w:rsid w:val="006A0A1A"/>
    <w:rsid w:val="006A0C4E"/>
    <w:rsid w:val="006A0EE1"/>
    <w:rsid w:val="006A1128"/>
    <w:rsid w:val="006A1501"/>
    <w:rsid w:val="006A1653"/>
    <w:rsid w:val="006A223D"/>
    <w:rsid w:val="006A277E"/>
    <w:rsid w:val="006A28B4"/>
    <w:rsid w:val="006A29E7"/>
    <w:rsid w:val="006A2BA2"/>
    <w:rsid w:val="006A3103"/>
    <w:rsid w:val="006A3612"/>
    <w:rsid w:val="006A3C0D"/>
    <w:rsid w:val="006A3C31"/>
    <w:rsid w:val="006A3D36"/>
    <w:rsid w:val="006A3E74"/>
    <w:rsid w:val="006A3FC9"/>
    <w:rsid w:val="006A40EF"/>
    <w:rsid w:val="006A4207"/>
    <w:rsid w:val="006A4397"/>
    <w:rsid w:val="006A43AF"/>
    <w:rsid w:val="006A4692"/>
    <w:rsid w:val="006A493B"/>
    <w:rsid w:val="006A5154"/>
    <w:rsid w:val="006A537C"/>
    <w:rsid w:val="006A54CC"/>
    <w:rsid w:val="006A5606"/>
    <w:rsid w:val="006A59F2"/>
    <w:rsid w:val="006A5F8E"/>
    <w:rsid w:val="006A69C3"/>
    <w:rsid w:val="006A6D44"/>
    <w:rsid w:val="006A7236"/>
    <w:rsid w:val="006A7D3B"/>
    <w:rsid w:val="006A7E06"/>
    <w:rsid w:val="006B12B1"/>
    <w:rsid w:val="006B1427"/>
    <w:rsid w:val="006B1E87"/>
    <w:rsid w:val="006B28C0"/>
    <w:rsid w:val="006B2B45"/>
    <w:rsid w:val="006B3ED2"/>
    <w:rsid w:val="006B4A83"/>
    <w:rsid w:val="006B57D6"/>
    <w:rsid w:val="006B5B02"/>
    <w:rsid w:val="006B5F4B"/>
    <w:rsid w:val="006B5F98"/>
    <w:rsid w:val="006B6148"/>
    <w:rsid w:val="006B64D3"/>
    <w:rsid w:val="006B69A8"/>
    <w:rsid w:val="006B6BAF"/>
    <w:rsid w:val="006B6DC0"/>
    <w:rsid w:val="006B6E8F"/>
    <w:rsid w:val="006C0987"/>
    <w:rsid w:val="006C0CA4"/>
    <w:rsid w:val="006C1194"/>
    <w:rsid w:val="006C14B7"/>
    <w:rsid w:val="006C18AF"/>
    <w:rsid w:val="006C3544"/>
    <w:rsid w:val="006C3553"/>
    <w:rsid w:val="006C40AE"/>
    <w:rsid w:val="006C4158"/>
    <w:rsid w:val="006C431D"/>
    <w:rsid w:val="006C4602"/>
    <w:rsid w:val="006C47C6"/>
    <w:rsid w:val="006C493E"/>
    <w:rsid w:val="006C55F2"/>
    <w:rsid w:val="006C59C4"/>
    <w:rsid w:val="006C5C71"/>
    <w:rsid w:val="006C5E86"/>
    <w:rsid w:val="006C6D49"/>
    <w:rsid w:val="006C7095"/>
    <w:rsid w:val="006D0E6B"/>
    <w:rsid w:val="006D0F51"/>
    <w:rsid w:val="006D1103"/>
    <w:rsid w:val="006D11B2"/>
    <w:rsid w:val="006D156E"/>
    <w:rsid w:val="006D26A9"/>
    <w:rsid w:val="006D38A0"/>
    <w:rsid w:val="006D52ED"/>
    <w:rsid w:val="006D5321"/>
    <w:rsid w:val="006D56BA"/>
    <w:rsid w:val="006D6A70"/>
    <w:rsid w:val="006D74D4"/>
    <w:rsid w:val="006D779B"/>
    <w:rsid w:val="006D7A89"/>
    <w:rsid w:val="006E03D1"/>
    <w:rsid w:val="006E03F0"/>
    <w:rsid w:val="006E0BFB"/>
    <w:rsid w:val="006E1022"/>
    <w:rsid w:val="006E10A8"/>
    <w:rsid w:val="006E1ACC"/>
    <w:rsid w:val="006E1B95"/>
    <w:rsid w:val="006E1CC5"/>
    <w:rsid w:val="006E1E0B"/>
    <w:rsid w:val="006E1F9B"/>
    <w:rsid w:val="006E1FC7"/>
    <w:rsid w:val="006E2A5A"/>
    <w:rsid w:val="006E3089"/>
    <w:rsid w:val="006E3224"/>
    <w:rsid w:val="006E3D6C"/>
    <w:rsid w:val="006E4863"/>
    <w:rsid w:val="006E5066"/>
    <w:rsid w:val="006E5A3C"/>
    <w:rsid w:val="006E5C53"/>
    <w:rsid w:val="006E5E2E"/>
    <w:rsid w:val="006E63F9"/>
    <w:rsid w:val="006E727C"/>
    <w:rsid w:val="006E72E0"/>
    <w:rsid w:val="006E7376"/>
    <w:rsid w:val="006E7448"/>
    <w:rsid w:val="006E74FC"/>
    <w:rsid w:val="006E7A7B"/>
    <w:rsid w:val="006F1290"/>
    <w:rsid w:val="006F1728"/>
    <w:rsid w:val="006F20BC"/>
    <w:rsid w:val="006F2973"/>
    <w:rsid w:val="006F30AE"/>
    <w:rsid w:val="006F3221"/>
    <w:rsid w:val="006F363E"/>
    <w:rsid w:val="006F37F3"/>
    <w:rsid w:val="006F3EDB"/>
    <w:rsid w:val="006F40DE"/>
    <w:rsid w:val="006F459F"/>
    <w:rsid w:val="006F46A6"/>
    <w:rsid w:val="006F5063"/>
    <w:rsid w:val="006F5A0D"/>
    <w:rsid w:val="006F5B33"/>
    <w:rsid w:val="006F696E"/>
    <w:rsid w:val="006F6B4F"/>
    <w:rsid w:val="006F6EC8"/>
    <w:rsid w:val="006F74A5"/>
    <w:rsid w:val="006F7AF8"/>
    <w:rsid w:val="006F7CE6"/>
    <w:rsid w:val="006F7E7C"/>
    <w:rsid w:val="00700010"/>
    <w:rsid w:val="007000FF"/>
    <w:rsid w:val="007003B3"/>
    <w:rsid w:val="00701123"/>
    <w:rsid w:val="0070179B"/>
    <w:rsid w:val="007017B5"/>
    <w:rsid w:val="007017BA"/>
    <w:rsid w:val="0070185E"/>
    <w:rsid w:val="0070198F"/>
    <w:rsid w:val="007024C6"/>
    <w:rsid w:val="00702D68"/>
    <w:rsid w:val="00704325"/>
    <w:rsid w:val="00704330"/>
    <w:rsid w:val="00704987"/>
    <w:rsid w:val="00704E5C"/>
    <w:rsid w:val="007053EE"/>
    <w:rsid w:val="007056C0"/>
    <w:rsid w:val="007057DE"/>
    <w:rsid w:val="00705F3A"/>
    <w:rsid w:val="00706081"/>
    <w:rsid w:val="00706CC0"/>
    <w:rsid w:val="00707D8E"/>
    <w:rsid w:val="007109BB"/>
    <w:rsid w:val="00710A42"/>
    <w:rsid w:val="00710D7C"/>
    <w:rsid w:val="00711044"/>
    <w:rsid w:val="00711412"/>
    <w:rsid w:val="00711FA3"/>
    <w:rsid w:val="00712BCD"/>
    <w:rsid w:val="00713475"/>
    <w:rsid w:val="007136CA"/>
    <w:rsid w:val="00713AA1"/>
    <w:rsid w:val="00714384"/>
    <w:rsid w:val="007143E1"/>
    <w:rsid w:val="0071447C"/>
    <w:rsid w:val="00714802"/>
    <w:rsid w:val="00714F55"/>
    <w:rsid w:val="00715A06"/>
    <w:rsid w:val="00715E23"/>
    <w:rsid w:val="00715E7C"/>
    <w:rsid w:val="0071608F"/>
    <w:rsid w:val="007164CF"/>
    <w:rsid w:val="007166A1"/>
    <w:rsid w:val="007168B7"/>
    <w:rsid w:val="00716AC2"/>
    <w:rsid w:val="00716E90"/>
    <w:rsid w:val="007177B2"/>
    <w:rsid w:val="0071D360"/>
    <w:rsid w:val="0072075D"/>
    <w:rsid w:val="00721928"/>
    <w:rsid w:val="00722289"/>
    <w:rsid w:val="007222BF"/>
    <w:rsid w:val="00722974"/>
    <w:rsid w:val="00722ECB"/>
    <w:rsid w:val="007233B9"/>
    <w:rsid w:val="007234E7"/>
    <w:rsid w:val="00723834"/>
    <w:rsid w:val="007241D4"/>
    <w:rsid w:val="0072466A"/>
    <w:rsid w:val="00724B02"/>
    <w:rsid w:val="007262E2"/>
    <w:rsid w:val="007275BE"/>
    <w:rsid w:val="007304A0"/>
    <w:rsid w:val="0073188A"/>
    <w:rsid w:val="0073201B"/>
    <w:rsid w:val="00732206"/>
    <w:rsid w:val="00732ED1"/>
    <w:rsid w:val="00733C16"/>
    <w:rsid w:val="00733FC9"/>
    <w:rsid w:val="00734049"/>
    <w:rsid w:val="00734494"/>
    <w:rsid w:val="0073449A"/>
    <w:rsid w:val="00734B8E"/>
    <w:rsid w:val="00734D8D"/>
    <w:rsid w:val="00735F43"/>
    <w:rsid w:val="00735F9E"/>
    <w:rsid w:val="00736683"/>
    <w:rsid w:val="0073679A"/>
    <w:rsid w:val="007368B5"/>
    <w:rsid w:val="00737175"/>
    <w:rsid w:val="007374C7"/>
    <w:rsid w:val="00737585"/>
    <w:rsid w:val="00737699"/>
    <w:rsid w:val="00737DCB"/>
    <w:rsid w:val="00740D3F"/>
    <w:rsid w:val="00741253"/>
    <w:rsid w:val="00741DEA"/>
    <w:rsid w:val="00741E2A"/>
    <w:rsid w:val="00741F13"/>
    <w:rsid w:val="007422F4"/>
    <w:rsid w:val="007427AA"/>
    <w:rsid w:val="00742D43"/>
    <w:rsid w:val="00743032"/>
    <w:rsid w:val="007433BC"/>
    <w:rsid w:val="00743638"/>
    <w:rsid w:val="007436FE"/>
    <w:rsid w:val="00743757"/>
    <w:rsid w:val="007439C0"/>
    <w:rsid w:val="00743EDA"/>
    <w:rsid w:val="00743F9C"/>
    <w:rsid w:val="00744033"/>
    <w:rsid w:val="00744044"/>
    <w:rsid w:val="00744308"/>
    <w:rsid w:val="007443D7"/>
    <w:rsid w:val="007444FA"/>
    <w:rsid w:val="00744B85"/>
    <w:rsid w:val="00744CB9"/>
    <w:rsid w:val="00744D3D"/>
    <w:rsid w:val="00744E0A"/>
    <w:rsid w:val="0074513B"/>
    <w:rsid w:val="007451E3"/>
    <w:rsid w:val="00745642"/>
    <w:rsid w:val="00745B73"/>
    <w:rsid w:val="00745CFA"/>
    <w:rsid w:val="00746594"/>
    <w:rsid w:val="007468D9"/>
    <w:rsid w:val="00746D12"/>
    <w:rsid w:val="00746FDE"/>
    <w:rsid w:val="0074712B"/>
    <w:rsid w:val="00747229"/>
    <w:rsid w:val="00747511"/>
    <w:rsid w:val="00747915"/>
    <w:rsid w:val="00750B9A"/>
    <w:rsid w:val="00750EF7"/>
    <w:rsid w:val="00751680"/>
    <w:rsid w:val="007516AC"/>
    <w:rsid w:val="00751849"/>
    <w:rsid w:val="007535A3"/>
    <w:rsid w:val="00753B5A"/>
    <w:rsid w:val="0075493A"/>
    <w:rsid w:val="00755264"/>
    <w:rsid w:val="007555C3"/>
    <w:rsid w:val="00755A3C"/>
    <w:rsid w:val="00756487"/>
    <w:rsid w:val="007564EF"/>
    <w:rsid w:val="00756819"/>
    <w:rsid w:val="00756B4F"/>
    <w:rsid w:val="00756D62"/>
    <w:rsid w:val="00756E1D"/>
    <w:rsid w:val="00756F75"/>
    <w:rsid w:val="007579F4"/>
    <w:rsid w:val="007601CF"/>
    <w:rsid w:val="00760C7B"/>
    <w:rsid w:val="0076101B"/>
    <w:rsid w:val="00761CDD"/>
    <w:rsid w:val="00761FDD"/>
    <w:rsid w:val="007623BD"/>
    <w:rsid w:val="00762863"/>
    <w:rsid w:val="0076297A"/>
    <w:rsid w:val="00763B03"/>
    <w:rsid w:val="00763C76"/>
    <w:rsid w:val="00763D30"/>
    <w:rsid w:val="00764331"/>
    <w:rsid w:val="0076444F"/>
    <w:rsid w:val="0076479E"/>
    <w:rsid w:val="00764908"/>
    <w:rsid w:val="007649AD"/>
    <w:rsid w:val="00764A8E"/>
    <w:rsid w:val="00764C13"/>
    <w:rsid w:val="00764D2C"/>
    <w:rsid w:val="00764D7B"/>
    <w:rsid w:val="00764FFE"/>
    <w:rsid w:val="0076521C"/>
    <w:rsid w:val="0076543E"/>
    <w:rsid w:val="00765606"/>
    <w:rsid w:val="00766ADB"/>
    <w:rsid w:val="007672CD"/>
    <w:rsid w:val="00767688"/>
    <w:rsid w:val="007679BF"/>
    <w:rsid w:val="007702D2"/>
    <w:rsid w:val="007714CF"/>
    <w:rsid w:val="007719C9"/>
    <w:rsid w:val="00771ED8"/>
    <w:rsid w:val="00772014"/>
    <w:rsid w:val="00772AE3"/>
    <w:rsid w:val="00772D22"/>
    <w:rsid w:val="0077351F"/>
    <w:rsid w:val="00773A32"/>
    <w:rsid w:val="00773C8D"/>
    <w:rsid w:val="00773DB7"/>
    <w:rsid w:val="007740D0"/>
    <w:rsid w:val="0077470C"/>
    <w:rsid w:val="00774949"/>
    <w:rsid w:val="00774B61"/>
    <w:rsid w:val="00774C62"/>
    <w:rsid w:val="00775172"/>
    <w:rsid w:val="00775BA5"/>
    <w:rsid w:val="00776494"/>
    <w:rsid w:val="00776C01"/>
    <w:rsid w:val="00777695"/>
    <w:rsid w:val="00777ECD"/>
    <w:rsid w:val="0078032D"/>
    <w:rsid w:val="007805D1"/>
    <w:rsid w:val="00780B9A"/>
    <w:rsid w:val="00780CB8"/>
    <w:rsid w:val="00780FBE"/>
    <w:rsid w:val="007811DC"/>
    <w:rsid w:val="0078183E"/>
    <w:rsid w:val="00781A95"/>
    <w:rsid w:val="00783DA3"/>
    <w:rsid w:val="007842EC"/>
    <w:rsid w:val="00784303"/>
    <w:rsid w:val="00784A7A"/>
    <w:rsid w:val="00784BE8"/>
    <w:rsid w:val="007853FD"/>
    <w:rsid w:val="007858A0"/>
    <w:rsid w:val="007858EE"/>
    <w:rsid w:val="00786070"/>
    <w:rsid w:val="007862A8"/>
    <w:rsid w:val="00786453"/>
    <w:rsid w:val="00786E7B"/>
    <w:rsid w:val="0078707E"/>
    <w:rsid w:val="007873C2"/>
    <w:rsid w:val="00787B43"/>
    <w:rsid w:val="00787CDA"/>
    <w:rsid w:val="00790249"/>
    <w:rsid w:val="00790868"/>
    <w:rsid w:val="007920D3"/>
    <w:rsid w:val="00792111"/>
    <w:rsid w:val="0079220A"/>
    <w:rsid w:val="007924F8"/>
    <w:rsid w:val="007930D2"/>
    <w:rsid w:val="00793427"/>
    <w:rsid w:val="00793BCE"/>
    <w:rsid w:val="00794468"/>
    <w:rsid w:val="007944D0"/>
    <w:rsid w:val="007948FA"/>
    <w:rsid w:val="00794F2E"/>
    <w:rsid w:val="007950D8"/>
    <w:rsid w:val="007954E7"/>
    <w:rsid w:val="007955C0"/>
    <w:rsid w:val="00795823"/>
    <w:rsid w:val="00795B95"/>
    <w:rsid w:val="00795F16"/>
    <w:rsid w:val="0079683F"/>
    <w:rsid w:val="0079699D"/>
    <w:rsid w:val="007969E1"/>
    <w:rsid w:val="00796E18"/>
    <w:rsid w:val="00796E9F"/>
    <w:rsid w:val="00797098"/>
    <w:rsid w:val="007970CC"/>
    <w:rsid w:val="00797491"/>
    <w:rsid w:val="00797A63"/>
    <w:rsid w:val="00797E29"/>
    <w:rsid w:val="00797E54"/>
    <w:rsid w:val="007A0030"/>
    <w:rsid w:val="007A0B9F"/>
    <w:rsid w:val="007A1A37"/>
    <w:rsid w:val="007A1B06"/>
    <w:rsid w:val="007A1BA5"/>
    <w:rsid w:val="007A1CF4"/>
    <w:rsid w:val="007A1E84"/>
    <w:rsid w:val="007A27B5"/>
    <w:rsid w:val="007A2E7B"/>
    <w:rsid w:val="007A431B"/>
    <w:rsid w:val="007A46C3"/>
    <w:rsid w:val="007A4ABE"/>
    <w:rsid w:val="007A55DA"/>
    <w:rsid w:val="007A5979"/>
    <w:rsid w:val="007A5A56"/>
    <w:rsid w:val="007A6896"/>
    <w:rsid w:val="007A6981"/>
    <w:rsid w:val="007A6C03"/>
    <w:rsid w:val="007A6D78"/>
    <w:rsid w:val="007A7781"/>
    <w:rsid w:val="007A79A1"/>
    <w:rsid w:val="007A7B6F"/>
    <w:rsid w:val="007A7E23"/>
    <w:rsid w:val="007B14D4"/>
    <w:rsid w:val="007B152E"/>
    <w:rsid w:val="007B1630"/>
    <w:rsid w:val="007B1982"/>
    <w:rsid w:val="007B2849"/>
    <w:rsid w:val="007B28FA"/>
    <w:rsid w:val="007B2DE2"/>
    <w:rsid w:val="007B3060"/>
    <w:rsid w:val="007B3A68"/>
    <w:rsid w:val="007B3D3B"/>
    <w:rsid w:val="007B3D98"/>
    <w:rsid w:val="007B41A7"/>
    <w:rsid w:val="007B4400"/>
    <w:rsid w:val="007B492F"/>
    <w:rsid w:val="007B4961"/>
    <w:rsid w:val="007B4CB2"/>
    <w:rsid w:val="007B4ECE"/>
    <w:rsid w:val="007B5026"/>
    <w:rsid w:val="007B5612"/>
    <w:rsid w:val="007B56E9"/>
    <w:rsid w:val="007B5A1C"/>
    <w:rsid w:val="007B5A9C"/>
    <w:rsid w:val="007B5DC1"/>
    <w:rsid w:val="007B693D"/>
    <w:rsid w:val="007B6D19"/>
    <w:rsid w:val="007B7022"/>
    <w:rsid w:val="007B771A"/>
    <w:rsid w:val="007C01DB"/>
    <w:rsid w:val="007C02DB"/>
    <w:rsid w:val="007C04C2"/>
    <w:rsid w:val="007C04C3"/>
    <w:rsid w:val="007C0805"/>
    <w:rsid w:val="007C1197"/>
    <w:rsid w:val="007C17F8"/>
    <w:rsid w:val="007C1C5A"/>
    <w:rsid w:val="007C1FF7"/>
    <w:rsid w:val="007C2A4E"/>
    <w:rsid w:val="007C2F95"/>
    <w:rsid w:val="007C35DE"/>
    <w:rsid w:val="007C378A"/>
    <w:rsid w:val="007C3F49"/>
    <w:rsid w:val="007C43B1"/>
    <w:rsid w:val="007C501E"/>
    <w:rsid w:val="007C5098"/>
    <w:rsid w:val="007C5109"/>
    <w:rsid w:val="007C5F42"/>
    <w:rsid w:val="007C64FC"/>
    <w:rsid w:val="007C6994"/>
    <w:rsid w:val="007C6EF7"/>
    <w:rsid w:val="007C7405"/>
    <w:rsid w:val="007C79DE"/>
    <w:rsid w:val="007C7AF2"/>
    <w:rsid w:val="007D01F8"/>
    <w:rsid w:val="007D02B6"/>
    <w:rsid w:val="007D0601"/>
    <w:rsid w:val="007D0643"/>
    <w:rsid w:val="007D078F"/>
    <w:rsid w:val="007D0E3E"/>
    <w:rsid w:val="007D15BE"/>
    <w:rsid w:val="007D18B9"/>
    <w:rsid w:val="007D1B2B"/>
    <w:rsid w:val="007D1D71"/>
    <w:rsid w:val="007D2C23"/>
    <w:rsid w:val="007D3631"/>
    <w:rsid w:val="007D38E4"/>
    <w:rsid w:val="007D3BE0"/>
    <w:rsid w:val="007D40B6"/>
    <w:rsid w:val="007D46A2"/>
    <w:rsid w:val="007D4DEF"/>
    <w:rsid w:val="007D50FB"/>
    <w:rsid w:val="007D52A3"/>
    <w:rsid w:val="007D5C81"/>
    <w:rsid w:val="007D672F"/>
    <w:rsid w:val="007D6EAC"/>
    <w:rsid w:val="007D77E6"/>
    <w:rsid w:val="007D78B0"/>
    <w:rsid w:val="007D7C94"/>
    <w:rsid w:val="007E07F3"/>
    <w:rsid w:val="007E0CB4"/>
    <w:rsid w:val="007E1453"/>
    <w:rsid w:val="007E1706"/>
    <w:rsid w:val="007E1D2F"/>
    <w:rsid w:val="007E3E27"/>
    <w:rsid w:val="007E522F"/>
    <w:rsid w:val="007E54AD"/>
    <w:rsid w:val="007E67DF"/>
    <w:rsid w:val="007E7363"/>
    <w:rsid w:val="007E75B7"/>
    <w:rsid w:val="007E7DCB"/>
    <w:rsid w:val="007F037B"/>
    <w:rsid w:val="007F03F3"/>
    <w:rsid w:val="007F07B2"/>
    <w:rsid w:val="007F1193"/>
    <w:rsid w:val="007F197B"/>
    <w:rsid w:val="007F2108"/>
    <w:rsid w:val="007F22B9"/>
    <w:rsid w:val="007F2363"/>
    <w:rsid w:val="007F2538"/>
    <w:rsid w:val="007F2576"/>
    <w:rsid w:val="007F351F"/>
    <w:rsid w:val="007F3E6E"/>
    <w:rsid w:val="007F45D6"/>
    <w:rsid w:val="007F4771"/>
    <w:rsid w:val="007F4CB7"/>
    <w:rsid w:val="007F5DDA"/>
    <w:rsid w:val="007F6167"/>
    <w:rsid w:val="007F68FA"/>
    <w:rsid w:val="007F69C7"/>
    <w:rsid w:val="007F6B33"/>
    <w:rsid w:val="007F6C26"/>
    <w:rsid w:val="007F736F"/>
    <w:rsid w:val="007F73A5"/>
    <w:rsid w:val="007F7AA2"/>
    <w:rsid w:val="008016D4"/>
    <w:rsid w:val="00801724"/>
    <w:rsid w:val="00801DB8"/>
    <w:rsid w:val="0080246D"/>
    <w:rsid w:val="00802CD3"/>
    <w:rsid w:val="008032DF"/>
    <w:rsid w:val="008033A2"/>
    <w:rsid w:val="008034BD"/>
    <w:rsid w:val="008039D5"/>
    <w:rsid w:val="00804271"/>
    <w:rsid w:val="00804274"/>
    <w:rsid w:val="00804618"/>
    <w:rsid w:val="008046E0"/>
    <w:rsid w:val="00804B4F"/>
    <w:rsid w:val="00805E0D"/>
    <w:rsid w:val="00806276"/>
    <w:rsid w:val="0080638B"/>
    <w:rsid w:val="00807AD7"/>
    <w:rsid w:val="00807E99"/>
    <w:rsid w:val="008102BA"/>
    <w:rsid w:val="0081094E"/>
    <w:rsid w:val="00810BA4"/>
    <w:rsid w:val="00810DCB"/>
    <w:rsid w:val="00810E38"/>
    <w:rsid w:val="00810F79"/>
    <w:rsid w:val="00810FB6"/>
    <w:rsid w:val="00811A2B"/>
    <w:rsid w:val="00811BC3"/>
    <w:rsid w:val="00811C8E"/>
    <w:rsid w:val="00811FEE"/>
    <w:rsid w:val="00813233"/>
    <w:rsid w:val="008132FC"/>
    <w:rsid w:val="0081340A"/>
    <w:rsid w:val="00813CDD"/>
    <w:rsid w:val="00813DB4"/>
    <w:rsid w:val="008145D9"/>
    <w:rsid w:val="00815C49"/>
    <w:rsid w:val="00815C7E"/>
    <w:rsid w:val="00815D5E"/>
    <w:rsid w:val="00815FC6"/>
    <w:rsid w:val="00816949"/>
    <w:rsid w:val="00816C01"/>
    <w:rsid w:val="00816CA5"/>
    <w:rsid w:val="00816D76"/>
    <w:rsid w:val="00816DF8"/>
    <w:rsid w:val="008215D4"/>
    <w:rsid w:val="00821831"/>
    <w:rsid w:val="00821898"/>
    <w:rsid w:val="0082225C"/>
    <w:rsid w:val="00823125"/>
    <w:rsid w:val="0082406A"/>
    <w:rsid w:val="00824153"/>
    <w:rsid w:val="0082477E"/>
    <w:rsid w:val="00825165"/>
    <w:rsid w:val="008251AF"/>
    <w:rsid w:val="00825888"/>
    <w:rsid w:val="008259EE"/>
    <w:rsid w:val="00825D7F"/>
    <w:rsid w:val="008267D8"/>
    <w:rsid w:val="00826808"/>
    <w:rsid w:val="008269C8"/>
    <w:rsid w:val="00827030"/>
    <w:rsid w:val="008274DC"/>
    <w:rsid w:val="00827B26"/>
    <w:rsid w:val="008300EF"/>
    <w:rsid w:val="00830247"/>
    <w:rsid w:val="00830529"/>
    <w:rsid w:val="0083054C"/>
    <w:rsid w:val="0083093D"/>
    <w:rsid w:val="00830B97"/>
    <w:rsid w:val="008319D3"/>
    <w:rsid w:val="008326BB"/>
    <w:rsid w:val="00832A11"/>
    <w:rsid w:val="00832A39"/>
    <w:rsid w:val="00832A4D"/>
    <w:rsid w:val="00832D99"/>
    <w:rsid w:val="008332EF"/>
    <w:rsid w:val="00833E29"/>
    <w:rsid w:val="00833F54"/>
    <w:rsid w:val="00834562"/>
    <w:rsid w:val="00834585"/>
    <w:rsid w:val="008346C0"/>
    <w:rsid w:val="00835382"/>
    <w:rsid w:val="0083542A"/>
    <w:rsid w:val="0083545F"/>
    <w:rsid w:val="00835ED8"/>
    <w:rsid w:val="00836080"/>
    <w:rsid w:val="0083633B"/>
    <w:rsid w:val="00836956"/>
    <w:rsid w:val="00836CD7"/>
    <w:rsid w:val="00837100"/>
    <w:rsid w:val="00837FA1"/>
    <w:rsid w:val="0084012E"/>
    <w:rsid w:val="008401C4"/>
    <w:rsid w:val="008402A6"/>
    <w:rsid w:val="008406E6"/>
    <w:rsid w:val="00840FDE"/>
    <w:rsid w:val="008410C2"/>
    <w:rsid w:val="0084132A"/>
    <w:rsid w:val="00841B20"/>
    <w:rsid w:val="008425D6"/>
    <w:rsid w:val="00842DB0"/>
    <w:rsid w:val="008432B9"/>
    <w:rsid w:val="008432D5"/>
    <w:rsid w:val="00843395"/>
    <w:rsid w:val="00843655"/>
    <w:rsid w:val="00844F98"/>
    <w:rsid w:val="0084532C"/>
    <w:rsid w:val="00846146"/>
    <w:rsid w:val="008467C4"/>
    <w:rsid w:val="00847A39"/>
    <w:rsid w:val="00847C3E"/>
    <w:rsid w:val="0085003C"/>
    <w:rsid w:val="00850E62"/>
    <w:rsid w:val="0085165B"/>
    <w:rsid w:val="00851E4C"/>
    <w:rsid w:val="0085244D"/>
    <w:rsid w:val="0085260D"/>
    <w:rsid w:val="00852B9F"/>
    <w:rsid w:val="00852C85"/>
    <w:rsid w:val="0085324D"/>
    <w:rsid w:val="00854371"/>
    <w:rsid w:val="0085499B"/>
    <w:rsid w:val="00854B7D"/>
    <w:rsid w:val="008550B2"/>
    <w:rsid w:val="008551A0"/>
    <w:rsid w:val="00855353"/>
    <w:rsid w:val="00855FAC"/>
    <w:rsid w:val="00856352"/>
    <w:rsid w:val="0085667E"/>
    <w:rsid w:val="0085670D"/>
    <w:rsid w:val="008568E9"/>
    <w:rsid w:val="00856F7E"/>
    <w:rsid w:val="00857039"/>
    <w:rsid w:val="0085708E"/>
    <w:rsid w:val="008575EB"/>
    <w:rsid w:val="0085790D"/>
    <w:rsid w:val="00860238"/>
    <w:rsid w:val="00861BF5"/>
    <w:rsid w:val="0086225B"/>
    <w:rsid w:val="0086256A"/>
    <w:rsid w:val="0086260F"/>
    <w:rsid w:val="00862C61"/>
    <w:rsid w:val="00863CC1"/>
    <w:rsid w:val="00863FF5"/>
    <w:rsid w:val="00864010"/>
    <w:rsid w:val="00864522"/>
    <w:rsid w:val="00864E34"/>
    <w:rsid w:val="00865514"/>
    <w:rsid w:val="00865830"/>
    <w:rsid w:val="008659EE"/>
    <w:rsid w:val="00865A70"/>
    <w:rsid w:val="0086609E"/>
    <w:rsid w:val="008667C6"/>
    <w:rsid w:val="00866CF8"/>
    <w:rsid w:val="00866E74"/>
    <w:rsid w:val="008676D8"/>
    <w:rsid w:val="00867A2E"/>
    <w:rsid w:val="00867B6E"/>
    <w:rsid w:val="00867E0E"/>
    <w:rsid w:val="00867F62"/>
    <w:rsid w:val="00870136"/>
    <w:rsid w:val="00870920"/>
    <w:rsid w:val="00870E44"/>
    <w:rsid w:val="00872149"/>
    <w:rsid w:val="008724EE"/>
    <w:rsid w:val="008726DC"/>
    <w:rsid w:val="00872FCC"/>
    <w:rsid w:val="008731CF"/>
    <w:rsid w:val="00873216"/>
    <w:rsid w:val="00873522"/>
    <w:rsid w:val="00873F9F"/>
    <w:rsid w:val="008744CB"/>
    <w:rsid w:val="00874AA4"/>
    <w:rsid w:val="00875636"/>
    <w:rsid w:val="008756E6"/>
    <w:rsid w:val="008757E6"/>
    <w:rsid w:val="00875E36"/>
    <w:rsid w:val="0087618D"/>
    <w:rsid w:val="00876494"/>
    <w:rsid w:val="00876C01"/>
    <w:rsid w:val="00877496"/>
    <w:rsid w:val="008775F8"/>
    <w:rsid w:val="00877F2D"/>
    <w:rsid w:val="008803B6"/>
    <w:rsid w:val="008803BE"/>
    <w:rsid w:val="0088058A"/>
    <w:rsid w:val="008808B9"/>
    <w:rsid w:val="008809CD"/>
    <w:rsid w:val="00880D89"/>
    <w:rsid w:val="00880FB1"/>
    <w:rsid w:val="00881685"/>
    <w:rsid w:val="00881844"/>
    <w:rsid w:val="00881908"/>
    <w:rsid w:val="00881DA4"/>
    <w:rsid w:val="00881ECC"/>
    <w:rsid w:val="00882109"/>
    <w:rsid w:val="008825E5"/>
    <w:rsid w:val="00882614"/>
    <w:rsid w:val="00882B62"/>
    <w:rsid w:val="00882DBE"/>
    <w:rsid w:val="008830D4"/>
    <w:rsid w:val="008837B9"/>
    <w:rsid w:val="008841AD"/>
    <w:rsid w:val="0088447B"/>
    <w:rsid w:val="008847F8"/>
    <w:rsid w:val="00884B71"/>
    <w:rsid w:val="00884ED2"/>
    <w:rsid w:val="00885225"/>
    <w:rsid w:val="008857D4"/>
    <w:rsid w:val="00885F01"/>
    <w:rsid w:val="00885F27"/>
    <w:rsid w:val="00886D48"/>
    <w:rsid w:val="008873AE"/>
    <w:rsid w:val="0088743B"/>
    <w:rsid w:val="0088745C"/>
    <w:rsid w:val="0088790D"/>
    <w:rsid w:val="00887A83"/>
    <w:rsid w:val="00887E5C"/>
    <w:rsid w:val="008903D0"/>
    <w:rsid w:val="00890D18"/>
    <w:rsid w:val="008911AF"/>
    <w:rsid w:val="00891210"/>
    <w:rsid w:val="008913C3"/>
    <w:rsid w:val="00891734"/>
    <w:rsid w:val="00891D9C"/>
    <w:rsid w:val="00891DE4"/>
    <w:rsid w:val="00892DBB"/>
    <w:rsid w:val="0089327D"/>
    <w:rsid w:val="008936A5"/>
    <w:rsid w:val="00893B8D"/>
    <w:rsid w:val="00893D1E"/>
    <w:rsid w:val="008942F1"/>
    <w:rsid w:val="008942F3"/>
    <w:rsid w:val="00894BDB"/>
    <w:rsid w:val="00894E78"/>
    <w:rsid w:val="008950D6"/>
    <w:rsid w:val="008960B9"/>
    <w:rsid w:val="00896703"/>
    <w:rsid w:val="00897460"/>
    <w:rsid w:val="008A0126"/>
    <w:rsid w:val="008A0A53"/>
    <w:rsid w:val="008A0B4C"/>
    <w:rsid w:val="008A0C9C"/>
    <w:rsid w:val="008A13DD"/>
    <w:rsid w:val="008A143A"/>
    <w:rsid w:val="008A1E19"/>
    <w:rsid w:val="008A1F7B"/>
    <w:rsid w:val="008A298E"/>
    <w:rsid w:val="008A32E1"/>
    <w:rsid w:val="008A3E52"/>
    <w:rsid w:val="008A44D5"/>
    <w:rsid w:val="008A4C90"/>
    <w:rsid w:val="008A4E0F"/>
    <w:rsid w:val="008A4F4C"/>
    <w:rsid w:val="008A529F"/>
    <w:rsid w:val="008A558C"/>
    <w:rsid w:val="008A5764"/>
    <w:rsid w:val="008A5907"/>
    <w:rsid w:val="008A65C4"/>
    <w:rsid w:val="008A6DF0"/>
    <w:rsid w:val="008A7417"/>
    <w:rsid w:val="008A7803"/>
    <w:rsid w:val="008A7B23"/>
    <w:rsid w:val="008B01F1"/>
    <w:rsid w:val="008B0E6F"/>
    <w:rsid w:val="008B1662"/>
    <w:rsid w:val="008B1833"/>
    <w:rsid w:val="008B1C23"/>
    <w:rsid w:val="008B2103"/>
    <w:rsid w:val="008B2D9D"/>
    <w:rsid w:val="008B3A1A"/>
    <w:rsid w:val="008B4000"/>
    <w:rsid w:val="008B4070"/>
    <w:rsid w:val="008B47B9"/>
    <w:rsid w:val="008B50A7"/>
    <w:rsid w:val="008B518C"/>
    <w:rsid w:val="008B558E"/>
    <w:rsid w:val="008B6170"/>
    <w:rsid w:val="008B6519"/>
    <w:rsid w:val="008B65CC"/>
    <w:rsid w:val="008B67B0"/>
    <w:rsid w:val="008B6877"/>
    <w:rsid w:val="008B730C"/>
    <w:rsid w:val="008B7A5A"/>
    <w:rsid w:val="008B7C1F"/>
    <w:rsid w:val="008B7E6A"/>
    <w:rsid w:val="008C0BE2"/>
    <w:rsid w:val="008C175F"/>
    <w:rsid w:val="008C1AA9"/>
    <w:rsid w:val="008C1E64"/>
    <w:rsid w:val="008C2793"/>
    <w:rsid w:val="008C2E31"/>
    <w:rsid w:val="008C3CF4"/>
    <w:rsid w:val="008C480F"/>
    <w:rsid w:val="008C496B"/>
    <w:rsid w:val="008C53C0"/>
    <w:rsid w:val="008C5A09"/>
    <w:rsid w:val="008C6B02"/>
    <w:rsid w:val="008C6B36"/>
    <w:rsid w:val="008C6CC0"/>
    <w:rsid w:val="008C71FD"/>
    <w:rsid w:val="008C741A"/>
    <w:rsid w:val="008C7AF2"/>
    <w:rsid w:val="008D01A8"/>
    <w:rsid w:val="008D043E"/>
    <w:rsid w:val="008D1BCC"/>
    <w:rsid w:val="008D2C22"/>
    <w:rsid w:val="008D3255"/>
    <w:rsid w:val="008D348C"/>
    <w:rsid w:val="008D36C4"/>
    <w:rsid w:val="008D3A60"/>
    <w:rsid w:val="008D3CDD"/>
    <w:rsid w:val="008D4433"/>
    <w:rsid w:val="008D443B"/>
    <w:rsid w:val="008D4449"/>
    <w:rsid w:val="008D4CF5"/>
    <w:rsid w:val="008D5049"/>
    <w:rsid w:val="008D5225"/>
    <w:rsid w:val="008D5670"/>
    <w:rsid w:val="008D611D"/>
    <w:rsid w:val="008D62C2"/>
    <w:rsid w:val="008D63F8"/>
    <w:rsid w:val="008D6883"/>
    <w:rsid w:val="008D69A5"/>
    <w:rsid w:val="008D6DD4"/>
    <w:rsid w:val="008D6E6B"/>
    <w:rsid w:val="008D7F7C"/>
    <w:rsid w:val="008E019D"/>
    <w:rsid w:val="008E0F99"/>
    <w:rsid w:val="008E110E"/>
    <w:rsid w:val="008E1384"/>
    <w:rsid w:val="008E1795"/>
    <w:rsid w:val="008E1B2F"/>
    <w:rsid w:val="008E1D72"/>
    <w:rsid w:val="008E2CA4"/>
    <w:rsid w:val="008E2E67"/>
    <w:rsid w:val="008E30EF"/>
    <w:rsid w:val="008E4284"/>
    <w:rsid w:val="008E4BBC"/>
    <w:rsid w:val="008E5A2A"/>
    <w:rsid w:val="008E5DC4"/>
    <w:rsid w:val="008E60C0"/>
    <w:rsid w:val="008E614D"/>
    <w:rsid w:val="008E629D"/>
    <w:rsid w:val="008E62B6"/>
    <w:rsid w:val="008E68D8"/>
    <w:rsid w:val="008E723A"/>
    <w:rsid w:val="008E79CC"/>
    <w:rsid w:val="008E7B5E"/>
    <w:rsid w:val="008F00B6"/>
    <w:rsid w:val="008F0616"/>
    <w:rsid w:val="008F136F"/>
    <w:rsid w:val="008F15CD"/>
    <w:rsid w:val="008F178A"/>
    <w:rsid w:val="008F1C5E"/>
    <w:rsid w:val="008F22ED"/>
    <w:rsid w:val="008F2C47"/>
    <w:rsid w:val="008F369D"/>
    <w:rsid w:val="008F36B8"/>
    <w:rsid w:val="008F3757"/>
    <w:rsid w:val="008F39FF"/>
    <w:rsid w:val="008F3EEE"/>
    <w:rsid w:val="008F543A"/>
    <w:rsid w:val="008F5563"/>
    <w:rsid w:val="008F5E55"/>
    <w:rsid w:val="008F5FD3"/>
    <w:rsid w:val="008F6235"/>
    <w:rsid w:val="008F62AC"/>
    <w:rsid w:val="008F6AD6"/>
    <w:rsid w:val="008F6C0B"/>
    <w:rsid w:val="008F6EF9"/>
    <w:rsid w:val="008F74F3"/>
    <w:rsid w:val="008F76D2"/>
    <w:rsid w:val="008F77F8"/>
    <w:rsid w:val="008F790E"/>
    <w:rsid w:val="008F7C4C"/>
    <w:rsid w:val="008F7CE1"/>
    <w:rsid w:val="009000CC"/>
    <w:rsid w:val="009005AE"/>
    <w:rsid w:val="0090168F"/>
    <w:rsid w:val="00901C75"/>
    <w:rsid w:val="00901EEB"/>
    <w:rsid w:val="00901FB3"/>
    <w:rsid w:val="009023BB"/>
    <w:rsid w:val="00902827"/>
    <w:rsid w:val="00902D37"/>
    <w:rsid w:val="00902EAA"/>
    <w:rsid w:val="009043B9"/>
    <w:rsid w:val="00904417"/>
    <w:rsid w:val="0090492E"/>
    <w:rsid w:val="00904AD6"/>
    <w:rsid w:val="00904B1A"/>
    <w:rsid w:val="00904DB6"/>
    <w:rsid w:val="00904E8A"/>
    <w:rsid w:val="00904EB1"/>
    <w:rsid w:val="00904F9B"/>
    <w:rsid w:val="00905AB4"/>
    <w:rsid w:val="00905CEC"/>
    <w:rsid w:val="00907928"/>
    <w:rsid w:val="00907B51"/>
    <w:rsid w:val="009101B3"/>
    <w:rsid w:val="00910358"/>
    <w:rsid w:val="00910870"/>
    <w:rsid w:val="009109A5"/>
    <w:rsid w:val="0091149D"/>
    <w:rsid w:val="00912524"/>
    <w:rsid w:val="00913410"/>
    <w:rsid w:val="009136B6"/>
    <w:rsid w:val="0091372C"/>
    <w:rsid w:val="00913838"/>
    <w:rsid w:val="00913976"/>
    <w:rsid w:val="00914033"/>
    <w:rsid w:val="0091437F"/>
    <w:rsid w:val="009147CC"/>
    <w:rsid w:val="009150D6"/>
    <w:rsid w:val="00915413"/>
    <w:rsid w:val="00916349"/>
    <w:rsid w:val="009165DF"/>
    <w:rsid w:val="00916682"/>
    <w:rsid w:val="009202CE"/>
    <w:rsid w:val="0092065B"/>
    <w:rsid w:val="00920693"/>
    <w:rsid w:val="00920A62"/>
    <w:rsid w:val="00920C25"/>
    <w:rsid w:val="009211F8"/>
    <w:rsid w:val="00921250"/>
    <w:rsid w:val="00921985"/>
    <w:rsid w:val="00921C53"/>
    <w:rsid w:val="00921CB6"/>
    <w:rsid w:val="00921D05"/>
    <w:rsid w:val="0092255F"/>
    <w:rsid w:val="00922B06"/>
    <w:rsid w:val="009236A2"/>
    <w:rsid w:val="009236D1"/>
    <w:rsid w:val="00923C6E"/>
    <w:rsid w:val="00924445"/>
    <w:rsid w:val="009249D4"/>
    <w:rsid w:val="00924ADB"/>
    <w:rsid w:val="00924B51"/>
    <w:rsid w:val="00925837"/>
    <w:rsid w:val="00925878"/>
    <w:rsid w:val="009259B6"/>
    <w:rsid w:val="009262A1"/>
    <w:rsid w:val="00926788"/>
    <w:rsid w:val="00926993"/>
    <w:rsid w:val="00927402"/>
    <w:rsid w:val="00927BA4"/>
    <w:rsid w:val="00930328"/>
    <w:rsid w:val="00930614"/>
    <w:rsid w:val="00930926"/>
    <w:rsid w:val="00930F15"/>
    <w:rsid w:val="009312CB"/>
    <w:rsid w:val="009312E0"/>
    <w:rsid w:val="009324B8"/>
    <w:rsid w:val="0093279C"/>
    <w:rsid w:val="009327B1"/>
    <w:rsid w:val="00932944"/>
    <w:rsid w:val="00933106"/>
    <w:rsid w:val="0093312E"/>
    <w:rsid w:val="0093377A"/>
    <w:rsid w:val="009337F3"/>
    <w:rsid w:val="00933931"/>
    <w:rsid w:val="00933FE6"/>
    <w:rsid w:val="00934408"/>
    <w:rsid w:val="00934442"/>
    <w:rsid w:val="00934813"/>
    <w:rsid w:val="00935ED2"/>
    <w:rsid w:val="009360C0"/>
    <w:rsid w:val="00936364"/>
    <w:rsid w:val="00936742"/>
    <w:rsid w:val="0093689B"/>
    <w:rsid w:val="00937B0D"/>
    <w:rsid w:val="00937E57"/>
    <w:rsid w:val="0094088F"/>
    <w:rsid w:val="00940B83"/>
    <w:rsid w:val="00940D21"/>
    <w:rsid w:val="00940E7C"/>
    <w:rsid w:val="009410E8"/>
    <w:rsid w:val="00941A05"/>
    <w:rsid w:val="00941AA3"/>
    <w:rsid w:val="00941F02"/>
    <w:rsid w:val="00941F0E"/>
    <w:rsid w:val="00942B15"/>
    <w:rsid w:val="00943206"/>
    <w:rsid w:val="0094346B"/>
    <w:rsid w:val="00943ED0"/>
    <w:rsid w:val="00944A3D"/>
    <w:rsid w:val="00945AFE"/>
    <w:rsid w:val="00946A87"/>
    <w:rsid w:val="00947213"/>
    <w:rsid w:val="00947688"/>
    <w:rsid w:val="0094789A"/>
    <w:rsid w:val="0095002A"/>
    <w:rsid w:val="0095005C"/>
    <w:rsid w:val="0095040B"/>
    <w:rsid w:val="009504B7"/>
    <w:rsid w:val="00950C14"/>
    <w:rsid w:val="00950C82"/>
    <w:rsid w:val="00950F02"/>
    <w:rsid w:val="00951156"/>
    <w:rsid w:val="00951543"/>
    <w:rsid w:val="00951D3D"/>
    <w:rsid w:val="00951EDB"/>
    <w:rsid w:val="0095260A"/>
    <w:rsid w:val="00952A48"/>
    <w:rsid w:val="00952B25"/>
    <w:rsid w:val="009532E0"/>
    <w:rsid w:val="00953CAC"/>
    <w:rsid w:val="009540E5"/>
    <w:rsid w:val="00954AEF"/>
    <w:rsid w:val="00954F00"/>
    <w:rsid w:val="00954F59"/>
    <w:rsid w:val="00955776"/>
    <w:rsid w:val="00955E41"/>
    <w:rsid w:val="0095641B"/>
    <w:rsid w:val="00956737"/>
    <w:rsid w:val="0095725C"/>
    <w:rsid w:val="009572A0"/>
    <w:rsid w:val="00957930"/>
    <w:rsid w:val="009600DC"/>
    <w:rsid w:val="009602CD"/>
    <w:rsid w:val="009602E5"/>
    <w:rsid w:val="009606AE"/>
    <w:rsid w:val="00961104"/>
    <w:rsid w:val="0096145B"/>
    <w:rsid w:val="009615DE"/>
    <w:rsid w:val="009621DC"/>
    <w:rsid w:val="00962716"/>
    <w:rsid w:val="00962C3B"/>
    <w:rsid w:val="009631B2"/>
    <w:rsid w:val="009634C1"/>
    <w:rsid w:val="009639DB"/>
    <w:rsid w:val="00964384"/>
    <w:rsid w:val="0096439D"/>
    <w:rsid w:val="00964621"/>
    <w:rsid w:val="00965018"/>
    <w:rsid w:val="00965350"/>
    <w:rsid w:val="00965423"/>
    <w:rsid w:val="009654A6"/>
    <w:rsid w:val="0096580E"/>
    <w:rsid w:val="00965990"/>
    <w:rsid w:val="00965E6E"/>
    <w:rsid w:val="009661C5"/>
    <w:rsid w:val="00966871"/>
    <w:rsid w:val="0096737F"/>
    <w:rsid w:val="00967865"/>
    <w:rsid w:val="009678C5"/>
    <w:rsid w:val="00967C5E"/>
    <w:rsid w:val="00967E0F"/>
    <w:rsid w:val="00967E13"/>
    <w:rsid w:val="00970043"/>
    <w:rsid w:val="009703B5"/>
    <w:rsid w:val="00970860"/>
    <w:rsid w:val="00970869"/>
    <w:rsid w:val="0097198E"/>
    <w:rsid w:val="00971E11"/>
    <w:rsid w:val="00972094"/>
    <w:rsid w:val="00972DD1"/>
    <w:rsid w:val="00972EEA"/>
    <w:rsid w:val="00972EF1"/>
    <w:rsid w:val="0097336D"/>
    <w:rsid w:val="00973807"/>
    <w:rsid w:val="00973A14"/>
    <w:rsid w:val="00973CFF"/>
    <w:rsid w:val="00974664"/>
    <w:rsid w:val="009750B3"/>
    <w:rsid w:val="00975161"/>
    <w:rsid w:val="009755B0"/>
    <w:rsid w:val="009762D1"/>
    <w:rsid w:val="00976463"/>
    <w:rsid w:val="00976788"/>
    <w:rsid w:val="00976CF6"/>
    <w:rsid w:val="0097722E"/>
    <w:rsid w:val="00977310"/>
    <w:rsid w:val="00977461"/>
    <w:rsid w:val="009777BD"/>
    <w:rsid w:val="00977B96"/>
    <w:rsid w:val="0098024B"/>
    <w:rsid w:val="00980519"/>
    <w:rsid w:val="00981CD7"/>
    <w:rsid w:val="00982196"/>
    <w:rsid w:val="00982DB6"/>
    <w:rsid w:val="00983109"/>
    <w:rsid w:val="00983557"/>
    <w:rsid w:val="009835E9"/>
    <w:rsid w:val="00983771"/>
    <w:rsid w:val="009837B3"/>
    <w:rsid w:val="00983B90"/>
    <w:rsid w:val="0098400D"/>
    <w:rsid w:val="009843DC"/>
    <w:rsid w:val="009844C4"/>
    <w:rsid w:val="0098462B"/>
    <w:rsid w:val="00984B30"/>
    <w:rsid w:val="009857D0"/>
    <w:rsid w:val="00985E12"/>
    <w:rsid w:val="009863C2"/>
    <w:rsid w:val="009866EF"/>
    <w:rsid w:val="00986A62"/>
    <w:rsid w:val="00987506"/>
    <w:rsid w:val="0098778C"/>
    <w:rsid w:val="0098799E"/>
    <w:rsid w:val="00987D81"/>
    <w:rsid w:val="00987EF8"/>
    <w:rsid w:val="00990C6E"/>
    <w:rsid w:val="00990DA3"/>
    <w:rsid w:val="00990FC5"/>
    <w:rsid w:val="00990FF2"/>
    <w:rsid w:val="00991453"/>
    <w:rsid w:val="00991ECB"/>
    <w:rsid w:val="009925A9"/>
    <w:rsid w:val="00992857"/>
    <w:rsid w:val="00992B2F"/>
    <w:rsid w:val="00993C56"/>
    <w:rsid w:val="00993C58"/>
    <w:rsid w:val="009944EE"/>
    <w:rsid w:val="00994B2D"/>
    <w:rsid w:val="00994F9A"/>
    <w:rsid w:val="00995944"/>
    <w:rsid w:val="009959C6"/>
    <w:rsid w:val="00995CC8"/>
    <w:rsid w:val="009962AD"/>
    <w:rsid w:val="009967B4"/>
    <w:rsid w:val="00996CFA"/>
    <w:rsid w:val="009973B3"/>
    <w:rsid w:val="009974E2"/>
    <w:rsid w:val="009976DB"/>
    <w:rsid w:val="00997AE8"/>
    <w:rsid w:val="00997B60"/>
    <w:rsid w:val="00997EB8"/>
    <w:rsid w:val="009A0C25"/>
    <w:rsid w:val="009A0DB2"/>
    <w:rsid w:val="009A0EF5"/>
    <w:rsid w:val="009A15DD"/>
    <w:rsid w:val="009A1721"/>
    <w:rsid w:val="009A26DD"/>
    <w:rsid w:val="009A319D"/>
    <w:rsid w:val="009A328B"/>
    <w:rsid w:val="009A3877"/>
    <w:rsid w:val="009A39A5"/>
    <w:rsid w:val="009A3F45"/>
    <w:rsid w:val="009A452C"/>
    <w:rsid w:val="009A4957"/>
    <w:rsid w:val="009A4B61"/>
    <w:rsid w:val="009A4C1B"/>
    <w:rsid w:val="009A54C1"/>
    <w:rsid w:val="009A5513"/>
    <w:rsid w:val="009A570A"/>
    <w:rsid w:val="009A5868"/>
    <w:rsid w:val="009A588B"/>
    <w:rsid w:val="009A5A0B"/>
    <w:rsid w:val="009A62BE"/>
    <w:rsid w:val="009A631C"/>
    <w:rsid w:val="009A6992"/>
    <w:rsid w:val="009A7474"/>
    <w:rsid w:val="009A79A5"/>
    <w:rsid w:val="009A7A4A"/>
    <w:rsid w:val="009A7BAC"/>
    <w:rsid w:val="009B00DE"/>
    <w:rsid w:val="009B106A"/>
    <w:rsid w:val="009B12D2"/>
    <w:rsid w:val="009B1402"/>
    <w:rsid w:val="009B1702"/>
    <w:rsid w:val="009B1CFD"/>
    <w:rsid w:val="009B249F"/>
    <w:rsid w:val="009B264D"/>
    <w:rsid w:val="009B2708"/>
    <w:rsid w:val="009B2D9B"/>
    <w:rsid w:val="009B2DDF"/>
    <w:rsid w:val="009B30A0"/>
    <w:rsid w:val="009B33E4"/>
    <w:rsid w:val="009B39FE"/>
    <w:rsid w:val="009B413A"/>
    <w:rsid w:val="009B4259"/>
    <w:rsid w:val="009B44F2"/>
    <w:rsid w:val="009B515D"/>
    <w:rsid w:val="009B52B9"/>
    <w:rsid w:val="009B5413"/>
    <w:rsid w:val="009B5668"/>
    <w:rsid w:val="009B58FE"/>
    <w:rsid w:val="009B5E69"/>
    <w:rsid w:val="009B624B"/>
    <w:rsid w:val="009B6650"/>
    <w:rsid w:val="009B67F5"/>
    <w:rsid w:val="009B6C51"/>
    <w:rsid w:val="009B78A6"/>
    <w:rsid w:val="009C0396"/>
    <w:rsid w:val="009C0AB3"/>
    <w:rsid w:val="009C0D8F"/>
    <w:rsid w:val="009C0F80"/>
    <w:rsid w:val="009C16B9"/>
    <w:rsid w:val="009C1702"/>
    <w:rsid w:val="009C30FE"/>
    <w:rsid w:val="009C31A3"/>
    <w:rsid w:val="009C3445"/>
    <w:rsid w:val="009C3485"/>
    <w:rsid w:val="009C44EA"/>
    <w:rsid w:val="009C476A"/>
    <w:rsid w:val="009C48DE"/>
    <w:rsid w:val="009C4A89"/>
    <w:rsid w:val="009C4BAA"/>
    <w:rsid w:val="009C4F48"/>
    <w:rsid w:val="009C55BA"/>
    <w:rsid w:val="009C5E33"/>
    <w:rsid w:val="009C5ED9"/>
    <w:rsid w:val="009C5F8B"/>
    <w:rsid w:val="009C6116"/>
    <w:rsid w:val="009C6E6D"/>
    <w:rsid w:val="009C6E95"/>
    <w:rsid w:val="009C725E"/>
    <w:rsid w:val="009C7466"/>
    <w:rsid w:val="009C7553"/>
    <w:rsid w:val="009C7A56"/>
    <w:rsid w:val="009C7FCA"/>
    <w:rsid w:val="009D0232"/>
    <w:rsid w:val="009D0FEE"/>
    <w:rsid w:val="009D17A1"/>
    <w:rsid w:val="009D1ECD"/>
    <w:rsid w:val="009D1FA5"/>
    <w:rsid w:val="009D211D"/>
    <w:rsid w:val="009D25BB"/>
    <w:rsid w:val="009D276E"/>
    <w:rsid w:val="009D2F03"/>
    <w:rsid w:val="009D3A87"/>
    <w:rsid w:val="009D3FC9"/>
    <w:rsid w:val="009D45A9"/>
    <w:rsid w:val="009D4A91"/>
    <w:rsid w:val="009D4BDF"/>
    <w:rsid w:val="009D4CFF"/>
    <w:rsid w:val="009D4DA9"/>
    <w:rsid w:val="009D5037"/>
    <w:rsid w:val="009D526E"/>
    <w:rsid w:val="009D5520"/>
    <w:rsid w:val="009D599E"/>
    <w:rsid w:val="009D5C02"/>
    <w:rsid w:val="009D5C44"/>
    <w:rsid w:val="009D6D52"/>
    <w:rsid w:val="009D7102"/>
    <w:rsid w:val="009D7782"/>
    <w:rsid w:val="009D7A90"/>
    <w:rsid w:val="009D7A9E"/>
    <w:rsid w:val="009E0283"/>
    <w:rsid w:val="009E037E"/>
    <w:rsid w:val="009E046D"/>
    <w:rsid w:val="009E0BCF"/>
    <w:rsid w:val="009E0D4C"/>
    <w:rsid w:val="009E15AA"/>
    <w:rsid w:val="009E18AB"/>
    <w:rsid w:val="009E1BE7"/>
    <w:rsid w:val="009E1F4B"/>
    <w:rsid w:val="009E226F"/>
    <w:rsid w:val="009E2A2A"/>
    <w:rsid w:val="009E2DE7"/>
    <w:rsid w:val="009E33D6"/>
    <w:rsid w:val="009E350B"/>
    <w:rsid w:val="009E3812"/>
    <w:rsid w:val="009E3A55"/>
    <w:rsid w:val="009E3A8F"/>
    <w:rsid w:val="009E3C4E"/>
    <w:rsid w:val="009E4592"/>
    <w:rsid w:val="009E469B"/>
    <w:rsid w:val="009E4768"/>
    <w:rsid w:val="009E4AFF"/>
    <w:rsid w:val="009E4D0E"/>
    <w:rsid w:val="009E56AA"/>
    <w:rsid w:val="009E5A78"/>
    <w:rsid w:val="009E5F54"/>
    <w:rsid w:val="009E64BE"/>
    <w:rsid w:val="009E7926"/>
    <w:rsid w:val="009E798D"/>
    <w:rsid w:val="009E7DE9"/>
    <w:rsid w:val="009E7F15"/>
    <w:rsid w:val="009F0E2A"/>
    <w:rsid w:val="009F12D6"/>
    <w:rsid w:val="009F1A1F"/>
    <w:rsid w:val="009F1D24"/>
    <w:rsid w:val="009F1EB9"/>
    <w:rsid w:val="009F1EC6"/>
    <w:rsid w:val="009F26C0"/>
    <w:rsid w:val="009F28BC"/>
    <w:rsid w:val="009F37A3"/>
    <w:rsid w:val="009F37F0"/>
    <w:rsid w:val="009F383D"/>
    <w:rsid w:val="009F3C38"/>
    <w:rsid w:val="009F46BE"/>
    <w:rsid w:val="009F4E35"/>
    <w:rsid w:val="009F54C1"/>
    <w:rsid w:val="009F5557"/>
    <w:rsid w:val="009F5945"/>
    <w:rsid w:val="009F5B23"/>
    <w:rsid w:val="009F5DEE"/>
    <w:rsid w:val="009F62EE"/>
    <w:rsid w:val="009F64E7"/>
    <w:rsid w:val="009F6CE0"/>
    <w:rsid w:val="009F6DB7"/>
    <w:rsid w:val="009F718C"/>
    <w:rsid w:val="009F7774"/>
    <w:rsid w:val="009F78AF"/>
    <w:rsid w:val="009F79EF"/>
    <w:rsid w:val="00A00A90"/>
    <w:rsid w:val="00A00EDC"/>
    <w:rsid w:val="00A00EF1"/>
    <w:rsid w:val="00A01740"/>
    <w:rsid w:val="00A01B66"/>
    <w:rsid w:val="00A01DE3"/>
    <w:rsid w:val="00A024D5"/>
    <w:rsid w:val="00A025D5"/>
    <w:rsid w:val="00A0397D"/>
    <w:rsid w:val="00A03FC3"/>
    <w:rsid w:val="00A0400C"/>
    <w:rsid w:val="00A04BB7"/>
    <w:rsid w:val="00A0534A"/>
    <w:rsid w:val="00A05824"/>
    <w:rsid w:val="00A067CB"/>
    <w:rsid w:val="00A06AA0"/>
    <w:rsid w:val="00A06F24"/>
    <w:rsid w:val="00A0707B"/>
    <w:rsid w:val="00A07257"/>
    <w:rsid w:val="00A07897"/>
    <w:rsid w:val="00A07989"/>
    <w:rsid w:val="00A07E99"/>
    <w:rsid w:val="00A10835"/>
    <w:rsid w:val="00A10B04"/>
    <w:rsid w:val="00A11456"/>
    <w:rsid w:val="00A11D2C"/>
    <w:rsid w:val="00A11EFA"/>
    <w:rsid w:val="00A12D29"/>
    <w:rsid w:val="00A137BE"/>
    <w:rsid w:val="00A13F78"/>
    <w:rsid w:val="00A13FE0"/>
    <w:rsid w:val="00A147EF"/>
    <w:rsid w:val="00A148A7"/>
    <w:rsid w:val="00A15075"/>
    <w:rsid w:val="00A15484"/>
    <w:rsid w:val="00A157E9"/>
    <w:rsid w:val="00A16AAA"/>
    <w:rsid w:val="00A16C3E"/>
    <w:rsid w:val="00A17181"/>
    <w:rsid w:val="00A17381"/>
    <w:rsid w:val="00A174E6"/>
    <w:rsid w:val="00A201E3"/>
    <w:rsid w:val="00A20537"/>
    <w:rsid w:val="00A2066E"/>
    <w:rsid w:val="00A216FD"/>
    <w:rsid w:val="00A2172F"/>
    <w:rsid w:val="00A220E2"/>
    <w:rsid w:val="00A223A9"/>
    <w:rsid w:val="00A2243C"/>
    <w:rsid w:val="00A22BD8"/>
    <w:rsid w:val="00A22F0E"/>
    <w:rsid w:val="00A237B0"/>
    <w:rsid w:val="00A23912"/>
    <w:rsid w:val="00A23BDE"/>
    <w:rsid w:val="00A23E21"/>
    <w:rsid w:val="00A246FA"/>
    <w:rsid w:val="00A2490D"/>
    <w:rsid w:val="00A249B2"/>
    <w:rsid w:val="00A25A80"/>
    <w:rsid w:val="00A26010"/>
    <w:rsid w:val="00A26127"/>
    <w:rsid w:val="00A264BD"/>
    <w:rsid w:val="00A26703"/>
    <w:rsid w:val="00A2678D"/>
    <w:rsid w:val="00A269F4"/>
    <w:rsid w:val="00A270DC"/>
    <w:rsid w:val="00A27771"/>
    <w:rsid w:val="00A27BF1"/>
    <w:rsid w:val="00A3021F"/>
    <w:rsid w:val="00A30687"/>
    <w:rsid w:val="00A31017"/>
    <w:rsid w:val="00A3267D"/>
    <w:rsid w:val="00A33817"/>
    <w:rsid w:val="00A33B2B"/>
    <w:rsid w:val="00A33BB5"/>
    <w:rsid w:val="00A34842"/>
    <w:rsid w:val="00A34C28"/>
    <w:rsid w:val="00A34E88"/>
    <w:rsid w:val="00A3504C"/>
    <w:rsid w:val="00A350FF"/>
    <w:rsid w:val="00A3684E"/>
    <w:rsid w:val="00A36C8D"/>
    <w:rsid w:val="00A36FC5"/>
    <w:rsid w:val="00A3709A"/>
    <w:rsid w:val="00A37313"/>
    <w:rsid w:val="00A3750B"/>
    <w:rsid w:val="00A37BB5"/>
    <w:rsid w:val="00A37E31"/>
    <w:rsid w:val="00A40B81"/>
    <w:rsid w:val="00A41E16"/>
    <w:rsid w:val="00A41FD0"/>
    <w:rsid w:val="00A421CB"/>
    <w:rsid w:val="00A42220"/>
    <w:rsid w:val="00A424CD"/>
    <w:rsid w:val="00A426A5"/>
    <w:rsid w:val="00A428E4"/>
    <w:rsid w:val="00A42F93"/>
    <w:rsid w:val="00A430FA"/>
    <w:rsid w:val="00A4379E"/>
    <w:rsid w:val="00A448DA"/>
    <w:rsid w:val="00A45275"/>
    <w:rsid w:val="00A4549B"/>
    <w:rsid w:val="00A45F74"/>
    <w:rsid w:val="00A45F7B"/>
    <w:rsid w:val="00A47187"/>
    <w:rsid w:val="00A473F5"/>
    <w:rsid w:val="00A50F69"/>
    <w:rsid w:val="00A51F5C"/>
    <w:rsid w:val="00A5208F"/>
    <w:rsid w:val="00A52359"/>
    <w:rsid w:val="00A526EB"/>
    <w:rsid w:val="00A52EAF"/>
    <w:rsid w:val="00A530CA"/>
    <w:rsid w:val="00A5342E"/>
    <w:rsid w:val="00A5435C"/>
    <w:rsid w:val="00A54948"/>
    <w:rsid w:val="00A54ACF"/>
    <w:rsid w:val="00A55204"/>
    <w:rsid w:val="00A555BC"/>
    <w:rsid w:val="00A55A4F"/>
    <w:rsid w:val="00A56545"/>
    <w:rsid w:val="00A5671C"/>
    <w:rsid w:val="00A568E2"/>
    <w:rsid w:val="00A569A8"/>
    <w:rsid w:val="00A57E2A"/>
    <w:rsid w:val="00A60A3B"/>
    <w:rsid w:val="00A61014"/>
    <w:rsid w:val="00A6186D"/>
    <w:rsid w:val="00A61888"/>
    <w:rsid w:val="00A61B98"/>
    <w:rsid w:val="00A622B0"/>
    <w:rsid w:val="00A623C0"/>
    <w:rsid w:val="00A62A8E"/>
    <w:rsid w:val="00A633C0"/>
    <w:rsid w:val="00A63535"/>
    <w:rsid w:val="00A63DD9"/>
    <w:rsid w:val="00A63F8D"/>
    <w:rsid w:val="00A64456"/>
    <w:rsid w:val="00A6449B"/>
    <w:rsid w:val="00A6501A"/>
    <w:rsid w:val="00A6598F"/>
    <w:rsid w:val="00A65C30"/>
    <w:rsid w:val="00A660FF"/>
    <w:rsid w:val="00A66733"/>
    <w:rsid w:val="00A66E5C"/>
    <w:rsid w:val="00A677B7"/>
    <w:rsid w:val="00A67B52"/>
    <w:rsid w:val="00A67FEE"/>
    <w:rsid w:val="00A70257"/>
    <w:rsid w:val="00A70783"/>
    <w:rsid w:val="00A70E2F"/>
    <w:rsid w:val="00A71381"/>
    <w:rsid w:val="00A71C10"/>
    <w:rsid w:val="00A71DCE"/>
    <w:rsid w:val="00A71EF7"/>
    <w:rsid w:val="00A722CE"/>
    <w:rsid w:val="00A724CB"/>
    <w:rsid w:val="00A72871"/>
    <w:rsid w:val="00A72EB1"/>
    <w:rsid w:val="00A7322C"/>
    <w:rsid w:val="00A73281"/>
    <w:rsid w:val="00A73521"/>
    <w:rsid w:val="00A736FB"/>
    <w:rsid w:val="00A73ED3"/>
    <w:rsid w:val="00A7415C"/>
    <w:rsid w:val="00A744EE"/>
    <w:rsid w:val="00A747CB"/>
    <w:rsid w:val="00A74F64"/>
    <w:rsid w:val="00A756FA"/>
    <w:rsid w:val="00A7570C"/>
    <w:rsid w:val="00A75CA0"/>
    <w:rsid w:val="00A75CB7"/>
    <w:rsid w:val="00A75FDB"/>
    <w:rsid w:val="00A763B5"/>
    <w:rsid w:val="00A7648F"/>
    <w:rsid w:val="00A76FD9"/>
    <w:rsid w:val="00A77101"/>
    <w:rsid w:val="00A775B6"/>
    <w:rsid w:val="00A77B36"/>
    <w:rsid w:val="00A77FAD"/>
    <w:rsid w:val="00A80579"/>
    <w:rsid w:val="00A80B31"/>
    <w:rsid w:val="00A80CA6"/>
    <w:rsid w:val="00A80CAD"/>
    <w:rsid w:val="00A8109C"/>
    <w:rsid w:val="00A8110A"/>
    <w:rsid w:val="00A81207"/>
    <w:rsid w:val="00A81386"/>
    <w:rsid w:val="00A816A7"/>
    <w:rsid w:val="00A81748"/>
    <w:rsid w:val="00A81B8B"/>
    <w:rsid w:val="00A82CF4"/>
    <w:rsid w:val="00A8325F"/>
    <w:rsid w:val="00A841F7"/>
    <w:rsid w:val="00A8427B"/>
    <w:rsid w:val="00A843F3"/>
    <w:rsid w:val="00A8455C"/>
    <w:rsid w:val="00A84DE7"/>
    <w:rsid w:val="00A84F06"/>
    <w:rsid w:val="00A8534A"/>
    <w:rsid w:val="00A85C4F"/>
    <w:rsid w:val="00A86025"/>
    <w:rsid w:val="00A86236"/>
    <w:rsid w:val="00A862FE"/>
    <w:rsid w:val="00A863BD"/>
    <w:rsid w:val="00A8652B"/>
    <w:rsid w:val="00A866BC"/>
    <w:rsid w:val="00A87593"/>
    <w:rsid w:val="00A876E7"/>
    <w:rsid w:val="00A87939"/>
    <w:rsid w:val="00A87EDA"/>
    <w:rsid w:val="00A901D8"/>
    <w:rsid w:val="00A901F4"/>
    <w:rsid w:val="00A903B7"/>
    <w:rsid w:val="00A903BA"/>
    <w:rsid w:val="00A9070C"/>
    <w:rsid w:val="00A9155B"/>
    <w:rsid w:val="00A91B2A"/>
    <w:rsid w:val="00A924EA"/>
    <w:rsid w:val="00A939AA"/>
    <w:rsid w:val="00A94E40"/>
    <w:rsid w:val="00A9513D"/>
    <w:rsid w:val="00A95316"/>
    <w:rsid w:val="00A953CC"/>
    <w:rsid w:val="00A9603C"/>
    <w:rsid w:val="00A96310"/>
    <w:rsid w:val="00A968C4"/>
    <w:rsid w:val="00A96941"/>
    <w:rsid w:val="00A96DFC"/>
    <w:rsid w:val="00A96E4A"/>
    <w:rsid w:val="00AA008F"/>
    <w:rsid w:val="00AA0119"/>
    <w:rsid w:val="00AA0BB9"/>
    <w:rsid w:val="00AA0C0D"/>
    <w:rsid w:val="00AA0FFB"/>
    <w:rsid w:val="00AA10CA"/>
    <w:rsid w:val="00AA14E9"/>
    <w:rsid w:val="00AA197E"/>
    <w:rsid w:val="00AA1E8B"/>
    <w:rsid w:val="00AA23C0"/>
    <w:rsid w:val="00AA2EBB"/>
    <w:rsid w:val="00AA31C8"/>
    <w:rsid w:val="00AA327F"/>
    <w:rsid w:val="00AA3F6F"/>
    <w:rsid w:val="00AA442F"/>
    <w:rsid w:val="00AA465A"/>
    <w:rsid w:val="00AA4CBC"/>
    <w:rsid w:val="00AA5184"/>
    <w:rsid w:val="00AA5311"/>
    <w:rsid w:val="00AA54A5"/>
    <w:rsid w:val="00AA61F2"/>
    <w:rsid w:val="00AA66A9"/>
    <w:rsid w:val="00AA6FFD"/>
    <w:rsid w:val="00AA70F6"/>
    <w:rsid w:val="00AB068E"/>
    <w:rsid w:val="00AB095B"/>
    <w:rsid w:val="00AB0B9E"/>
    <w:rsid w:val="00AB1424"/>
    <w:rsid w:val="00AB1870"/>
    <w:rsid w:val="00AB1F3C"/>
    <w:rsid w:val="00AB22A4"/>
    <w:rsid w:val="00AB250B"/>
    <w:rsid w:val="00AB26AF"/>
    <w:rsid w:val="00AB26FF"/>
    <w:rsid w:val="00AB2736"/>
    <w:rsid w:val="00AB344D"/>
    <w:rsid w:val="00AB3707"/>
    <w:rsid w:val="00AB3E6F"/>
    <w:rsid w:val="00AB4835"/>
    <w:rsid w:val="00AB4A96"/>
    <w:rsid w:val="00AB53CA"/>
    <w:rsid w:val="00AB57AA"/>
    <w:rsid w:val="00AB5AA6"/>
    <w:rsid w:val="00AB6DC6"/>
    <w:rsid w:val="00AB709E"/>
    <w:rsid w:val="00AB7729"/>
    <w:rsid w:val="00AB77C5"/>
    <w:rsid w:val="00AB799A"/>
    <w:rsid w:val="00AB7F29"/>
    <w:rsid w:val="00AC028B"/>
    <w:rsid w:val="00AC0995"/>
    <w:rsid w:val="00AC0B4B"/>
    <w:rsid w:val="00AC0F60"/>
    <w:rsid w:val="00AC16B7"/>
    <w:rsid w:val="00AC1A15"/>
    <w:rsid w:val="00AC1E70"/>
    <w:rsid w:val="00AC278C"/>
    <w:rsid w:val="00AC2953"/>
    <w:rsid w:val="00AC329F"/>
    <w:rsid w:val="00AC33A2"/>
    <w:rsid w:val="00AC359C"/>
    <w:rsid w:val="00AC39EC"/>
    <w:rsid w:val="00AC410D"/>
    <w:rsid w:val="00AC41B0"/>
    <w:rsid w:val="00AC42D1"/>
    <w:rsid w:val="00AC4DA3"/>
    <w:rsid w:val="00AC4FB8"/>
    <w:rsid w:val="00AC50DF"/>
    <w:rsid w:val="00AC5278"/>
    <w:rsid w:val="00AC5346"/>
    <w:rsid w:val="00AC5BB2"/>
    <w:rsid w:val="00AC5CEE"/>
    <w:rsid w:val="00AC5EE3"/>
    <w:rsid w:val="00AC66AC"/>
    <w:rsid w:val="00AC6AEC"/>
    <w:rsid w:val="00AC6F2C"/>
    <w:rsid w:val="00AC73FE"/>
    <w:rsid w:val="00AD056D"/>
    <w:rsid w:val="00AD0819"/>
    <w:rsid w:val="00AD085D"/>
    <w:rsid w:val="00AD0D91"/>
    <w:rsid w:val="00AD11D2"/>
    <w:rsid w:val="00AD1340"/>
    <w:rsid w:val="00AD137C"/>
    <w:rsid w:val="00AD1634"/>
    <w:rsid w:val="00AD169B"/>
    <w:rsid w:val="00AD1934"/>
    <w:rsid w:val="00AD1E41"/>
    <w:rsid w:val="00AD1EB7"/>
    <w:rsid w:val="00AD29FB"/>
    <w:rsid w:val="00AD2A27"/>
    <w:rsid w:val="00AD2F96"/>
    <w:rsid w:val="00AD30DD"/>
    <w:rsid w:val="00AD3724"/>
    <w:rsid w:val="00AD42F3"/>
    <w:rsid w:val="00AD47E9"/>
    <w:rsid w:val="00AD4B6A"/>
    <w:rsid w:val="00AD501D"/>
    <w:rsid w:val="00AD542E"/>
    <w:rsid w:val="00AD5831"/>
    <w:rsid w:val="00AD584E"/>
    <w:rsid w:val="00AD58CC"/>
    <w:rsid w:val="00AD5CC2"/>
    <w:rsid w:val="00AD5E1F"/>
    <w:rsid w:val="00AD608B"/>
    <w:rsid w:val="00AD63B8"/>
    <w:rsid w:val="00AD64D2"/>
    <w:rsid w:val="00AD6B84"/>
    <w:rsid w:val="00AD6C82"/>
    <w:rsid w:val="00AD6EE3"/>
    <w:rsid w:val="00AD71A1"/>
    <w:rsid w:val="00AD730A"/>
    <w:rsid w:val="00AD73AD"/>
    <w:rsid w:val="00AD76B6"/>
    <w:rsid w:val="00AD7987"/>
    <w:rsid w:val="00AD7B63"/>
    <w:rsid w:val="00AE069A"/>
    <w:rsid w:val="00AE0EE9"/>
    <w:rsid w:val="00AE1102"/>
    <w:rsid w:val="00AE138E"/>
    <w:rsid w:val="00AE1777"/>
    <w:rsid w:val="00AE1BB5"/>
    <w:rsid w:val="00AE1D62"/>
    <w:rsid w:val="00AE1F54"/>
    <w:rsid w:val="00AE2396"/>
    <w:rsid w:val="00AE24B6"/>
    <w:rsid w:val="00AE2DAE"/>
    <w:rsid w:val="00AE3485"/>
    <w:rsid w:val="00AE3DE9"/>
    <w:rsid w:val="00AE3EFB"/>
    <w:rsid w:val="00AE43FE"/>
    <w:rsid w:val="00AE44F1"/>
    <w:rsid w:val="00AE46E6"/>
    <w:rsid w:val="00AE4F3B"/>
    <w:rsid w:val="00AE69D0"/>
    <w:rsid w:val="00AE7529"/>
    <w:rsid w:val="00AE7841"/>
    <w:rsid w:val="00AE7C81"/>
    <w:rsid w:val="00AF0065"/>
    <w:rsid w:val="00AF070D"/>
    <w:rsid w:val="00AF1176"/>
    <w:rsid w:val="00AF159E"/>
    <w:rsid w:val="00AF15C1"/>
    <w:rsid w:val="00AF1824"/>
    <w:rsid w:val="00AF19F5"/>
    <w:rsid w:val="00AF2155"/>
    <w:rsid w:val="00AF2725"/>
    <w:rsid w:val="00AF2D0C"/>
    <w:rsid w:val="00AF32DA"/>
    <w:rsid w:val="00AF36D0"/>
    <w:rsid w:val="00AF3BB8"/>
    <w:rsid w:val="00AF3C3D"/>
    <w:rsid w:val="00AF4199"/>
    <w:rsid w:val="00AF4781"/>
    <w:rsid w:val="00AF481C"/>
    <w:rsid w:val="00AF4834"/>
    <w:rsid w:val="00AF5267"/>
    <w:rsid w:val="00AF5413"/>
    <w:rsid w:val="00AF619F"/>
    <w:rsid w:val="00AF630E"/>
    <w:rsid w:val="00AF6604"/>
    <w:rsid w:val="00AF6D9F"/>
    <w:rsid w:val="00AF703F"/>
    <w:rsid w:val="00B0035F"/>
    <w:rsid w:val="00B0043D"/>
    <w:rsid w:val="00B00477"/>
    <w:rsid w:val="00B02317"/>
    <w:rsid w:val="00B0236F"/>
    <w:rsid w:val="00B0250B"/>
    <w:rsid w:val="00B02864"/>
    <w:rsid w:val="00B029D5"/>
    <w:rsid w:val="00B02BBA"/>
    <w:rsid w:val="00B02E51"/>
    <w:rsid w:val="00B02E6A"/>
    <w:rsid w:val="00B03BA2"/>
    <w:rsid w:val="00B03D1E"/>
    <w:rsid w:val="00B04910"/>
    <w:rsid w:val="00B04F5A"/>
    <w:rsid w:val="00B0566A"/>
    <w:rsid w:val="00B05A25"/>
    <w:rsid w:val="00B05C66"/>
    <w:rsid w:val="00B05CA9"/>
    <w:rsid w:val="00B060FC"/>
    <w:rsid w:val="00B0699E"/>
    <w:rsid w:val="00B071D1"/>
    <w:rsid w:val="00B07CE9"/>
    <w:rsid w:val="00B104DF"/>
    <w:rsid w:val="00B111D7"/>
    <w:rsid w:val="00B1120A"/>
    <w:rsid w:val="00B116FA"/>
    <w:rsid w:val="00B11792"/>
    <w:rsid w:val="00B11B13"/>
    <w:rsid w:val="00B12C2D"/>
    <w:rsid w:val="00B137B6"/>
    <w:rsid w:val="00B13AC1"/>
    <w:rsid w:val="00B13E71"/>
    <w:rsid w:val="00B140C1"/>
    <w:rsid w:val="00B141B3"/>
    <w:rsid w:val="00B1504F"/>
    <w:rsid w:val="00B15647"/>
    <w:rsid w:val="00B1593F"/>
    <w:rsid w:val="00B15C53"/>
    <w:rsid w:val="00B15D5D"/>
    <w:rsid w:val="00B16353"/>
    <w:rsid w:val="00B1672D"/>
    <w:rsid w:val="00B16A37"/>
    <w:rsid w:val="00B17130"/>
    <w:rsid w:val="00B1779A"/>
    <w:rsid w:val="00B17870"/>
    <w:rsid w:val="00B17B26"/>
    <w:rsid w:val="00B17C74"/>
    <w:rsid w:val="00B17FF1"/>
    <w:rsid w:val="00B20289"/>
    <w:rsid w:val="00B2056C"/>
    <w:rsid w:val="00B20A48"/>
    <w:rsid w:val="00B219F5"/>
    <w:rsid w:val="00B21D20"/>
    <w:rsid w:val="00B2296B"/>
    <w:rsid w:val="00B22C3F"/>
    <w:rsid w:val="00B22CE7"/>
    <w:rsid w:val="00B230EA"/>
    <w:rsid w:val="00B2324B"/>
    <w:rsid w:val="00B2358A"/>
    <w:rsid w:val="00B23790"/>
    <w:rsid w:val="00B2396D"/>
    <w:rsid w:val="00B23C45"/>
    <w:rsid w:val="00B23F70"/>
    <w:rsid w:val="00B24B28"/>
    <w:rsid w:val="00B24CAB"/>
    <w:rsid w:val="00B25EBE"/>
    <w:rsid w:val="00B262A8"/>
    <w:rsid w:val="00B26BEE"/>
    <w:rsid w:val="00B26DCE"/>
    <w:rsid w:val="00B27461"/>
    <w:rsid w:val="00B279F0"/>
    <w:rsid w:val="00B27C2F"/>
    <w:rsid w:val="00B307ED"/>
    <w:rsid w:val="00B309F1"/>
    <w:rsid w:val="00B30C57"/>
    <w:rsid w:val="00B31036"/>
    <w:rsid w:val="00B31352"/>
    <w:rsid w:val="00B31AB3"/>
    <w:rsid w:val="00B31D1A"/>
    <w:rsid w:val="00B31E69"/>
    <w:rsid w:val="00B31F13"/>
    <w:rsid w:val="00B32269"/>
    <w:rsid w:val="00B322E9"/>
    <w:rsid w:val="00B324C5"/>
    <w:rsid w:val="00B328AD"/>
    <w:rsid w:val="00B338F7"/>
    <w:rsid w:val="00B33AEA"/>
    <w:rsid w:val="00B33D85"/>
    <w:rsid w:val="00B348CF"/>
    <w:rsid w:val="00B35212"/>
    <w:rsid w:val="00B35546"/>
    <w:rsid w:val="00B36D58"/>
    <w:rsid w:val="00B36E95"/>
    <w:rsid w:val="00B36F56"/>
    <w:rsid w:val="00B37041"/>
    <w:rsid w:val="00B37424"/>
    <w:rsid w:val="00B37AB1"/>
    <w:rsid w:val="00B40ABA"/>
    <w:rsid w:val="00B410F6"/>
    <w:rsid w:val="00B4155F"/>
    <w:rsid w:val="00B4164B"/>
    <w:rsid w:val="00B416DF"/>
    <w:rsid w:val="00B4173B"/>
    <w:rsid w:val="00B41CED"/>
    <w:rsid w:val="00B41D3F"/>
    <w:rsid w:val="00B41F72"/>
    <w:rsid w:val="00B41FAF"/>
    <w:rsid w:val="00B4227E"/>
    <w:rsid w:val="00B435A4"/>
    <w:rsid w:val="00B436BA"/>
    <w:rsid w:val="00B44078"/>
    <w:rsid w:val="00B445F1"/>
    <w:rsid w:val="00B449D7"/>
    <w:rsid w:val="00B45022"/>
    <w:rsid w:val="00B4518E"/>
    <w:rsid w:val="00B45256"/>
    <w:rsid w:val="00B45698"/>
    <w:rsid w:val="00B459C9"/>
    <w:rsid w:val="00B45AE3"/>
    <w:rsid w:val="00B465E7"/>
    <w:rsid w:val="00B4675B"/>
    <w:rsid w:val="00B46C6D"/>
    <w:rsid w:val="00B46DD0"/>
    <w:rsid w:val="00B475DB"/>
    <w:rsid w:val="00B476C1"/>
    <w:rsid w:val="00B478DB"/>
    <w:rsid w:val="00B47E7F"/>
    <w:rsid w:val="00B50014"/>
    <w:rsid w:val="00B5014B"/>
    <w:rsid w:val="00B50239"/>
    <w:rsid w:val="00B50535"/>
    <w:rsid w:val="00B50AFA"/>
    <w:rsid w:val="00B50CBA"/>
    <w:rsid w:val="00B51165"/>
    <w:rsid w:val="00B51725"/>
    <w:rsid w:val="00B51DBC"/>
    <w:rsid w:val="00B52BB8"/>
    <w:rsid w:val="00B52F38"/>
    <w:rsid w:val="00B53706"/>
    <w:rsid w:val="00B55158"/>
    <w:rsid w:val="00B55271"/>
    <w:rsid w:val="00B554C4"/>
    <w:rsid w:val="00B5593F"/>
    <w:rsid w:val="00B5623F"/>
    <w:rsid w:val="00B564A6"/>
    <w:rsid w:val="00B56E8E"/>
    <w:rsid w:val="00B570FC"/>
    <w:rsid w:val="00B57133"/>
    <w:rsid w:val="00B57391"/>
    <w:rsid w:val="00B57819"/>
    <w:rsid w:val="00B579A6"/>
    <w:rsid w:val="00B57A88"/>
    <w:rsid w:val="00B57BED"/>
    <w:rsid w:val="00B57ECD"/>
    <w:rsid w:val="00B60409"/>
    <w:rsid w:val="00B60B0E"/>
    <w:rsid w:val="00B6157A"/>
    <w:rsid w:val="00B615A5"/>
    <w:rsid w:val="00B63022"/>
    <w:rsid w:val="00B631CD"/>
    <w:rsid w:val="00B63372"/>
    <w:rsid w:val="00B6397B"/>
    <w:rsid w:val="00B63AA6"/>
    <w:rsid w:val="00B63D34"/>
    <w:rsid w:val="00B643BB"/>
    <w:rsid w:val="00B653FD"/>
    <w:rsid w:val="00B657F0"/>
    <w:rsid w:val="00B65CA7"/>
    <w:rsid w:val="00B65CF6"/>
    <w:rsid w:val="00B65D66"/>
    <w:rsid w:val="00B65EF1"/>
    <w:rsid w:val="00B66267"/>
    <w:rsid w:val="00B666EC"/>
    <w:rsid w:val="00B66A9B"/>
    <w:rsid w:val="00B66CA1"/>
    <w:rsid w:val="00B70B82"/>
    <w:rsid w:val="00B70CF6"/>
    <w:rsid w:val="00B70E61"/>
    <w:rsid w:val="00B7141D"/>
    <w:rsid w:val="00B71A73"/>
    <w:rsid w:val="00B71AC9"/>
    <w:rsid w:val="00B71E7C"/>
    <w:rsid w:val="00B72037"/>
    <w:rsid w:val="00B7206A"/>
    <w:rsid w:val="00B727CD"/>
    <w:rsid w:val="00B72900"/>
    <w:rsid w:val="00B72A78"/>
    <w:rsid w:val="00B736EE"/>
    <w:rsid w:val="00B7409D"/>
    <w:rsid w:val="00B74283"/>
    <w:rsid w:val="00B74474"/>
    <w:rsid w:val="00B748DE"/>
    <w:rsid w:val="00B74CDD"/>
    <w:rsid w:val="00B74D6B"/>
    <w:rsid w:val="00B7512E"/>
    <w:rsid w:val="00B7545E"/>
    <w:rsid w:val="00B75931"/>
    <w:rsid w:val="00B769F7"/>
    <w:rsid w:val="00B76FDE"/>
    <w:rsid w:val="00B77B61"/>
    <w:rsid w:val="00B80A53"/>
    <w:rsid w:val="00B81247"/>
    <w:rsid w:val="00B81B0A"/>
    <w:rsid w:val="00B8229C"/>
    <w:rsid w:val="00B825B1"/>
    <w:rsid w:val="00B82728"/>
    <w:rsid w:val="00B82A25"/>
    <w:rsid w:val="00B82E1C"/>
    <w:rsid w:val="00B83687"/>
    <w:rsid w:val="00B83A94"/>
    <w:rsid w:val="00B83B06"/>
    <w:rsid w:val="00B83B07"/>
    <w:rsid w:val="00B841C6"/>
    <w:rsid w:val="00B8429A"/>
    <w:rsid w:val="00B849EC"/>
    <w:rsid w:val="00B84BB8"/>
    <w:rsid w:val="00B859BD"/>
    <w:rsid w:val="00B85CC0"/>
    <w:rsid w:val="00B864D4"/>
    <w:rsid w:val="00B86E6F"/>
    <w:rsid w:val="00B8778D"/>
    <w:rsid w:val="00B877A5"/>
    <w:rsid w:val="00B87D25"/>
    <w:rsid w:val="00B87E08"/>
    <w:rsid w:val="00B9024E"/>
    <w:rsid w:val="00B903F2"/>
    <w:rsid w:val="00B906EC"/>
    <w:rsid w:val="00B907F9"/>
    <w:rsid w:val="00B908A0"/>
    <w:rsid w:val="00B90C35"/>
    <w:rsid w:val="00B91186"/>
    <w:rsid w:val="00B916CA"/>
    <w:rsid w:val="00B91B3B"/>
    <w:rsid w:val="00B91CD9"/>
    <w:rsid w:val="00B921CB"/>
    <w:rsid w:val="00B9234A"/>
    <w:rsid w:val="00B9235D"/>
    <w:rsid w:val="00B9282E"/>
    <w:rsid w:val="00B92A66"/>
    <w:rsid w:val="00B92B92"/>
    <w:rsid w:val="00B93035"/>
    <w:rsid w:val="00B93052"/>
    <w:rsid w:val="00B930E8"/>
    <w:rsid w:val="00B93175"/>
    <w:rsid w:val="00B937B4"/>
    <w:rsid w:val="00B9384D"/>
    <w:rsid w:val="00B94350"/>
    <w:rsid w:val="00B95104"/>
    <w:rsid w:val="00B956E7"/>
    <w:rsid w:val="00B9573A"/>
    <w:rsid w:val="00B95C18"/>
    <w:rsid w:val="00B96178"/>
    <w:rsid w:val="00B974B8"/>
    <w:rsid w:val="00B9753B"/>
    <w:rsid w:val="00B9778D"/>
    <w:rsid w:val="00B97946"/>
    <w:rsid w:val="00B979A0"/>
    <w:rsid w:val="00B97FD1"/>
    <w:rsid w:val="00BA0271"/>
    <w:rsid w:val="00BA0530"/>
    <w:rsid w:val="00BA07FF"/>
    <w:rsid w:val="00BA111A"/>
    <w:rsid w:val="00BA147C"/>
    <w:rsid w:val="00BA1940"/>
    <w:rsid w:val="00BA1D62"/>
    <w:rsid w:val="00BA324C"/>
    <w:rsid w:val="00BA3265"/>
    <w:rsid w:val="00BA35AC"/>
    <w:rsid w:val="00BA3E4C"/>
    <w:rsid w:val="00BA3FB0"/>
    <w:rsid w:val="00BA49FA"/>
    <w:rsid w:val="00BA4A23"/>
    <w:rsid w:val="00BA4A35"/>
    <w:rsid w:val="00BA4B60"/>
    <w:rsid w:val="00BA5C4D"/>
    <w:rsid w:val="00BA5CE9"/>
    <w:rsid w:val="00BA5D7F"/>
    <w:rsid w:val="00BA6630"/>
    <w:rsid w:val="00BA7047"/>
    <w:rsid w:val="00BA7D58"/>
    <w:rsid w:val="00BA7DA0"/>
    <w:rsid w:val="00BB199F"/>
    <w:rsid w:val="00BB1A9B"/>
    <w:rsid w:val="00BB21A8"/>
    <w:rsid w:val="00BB2364"/>
    <w:rsid w:val="00BB2D57"/>
    <w:rsid w:val="00BB3152"/>
    <w:rsid w:val="00BB3D59"/>
    <w:rsid w:val="00BB46C0"/>
    <w:rsid w:val="00BB4DC3"/>
    <w:rsid w:val="00BB4EB5"/>
    <w:rsid w:val="00BB5B26"/>
    <w:rsid w:val="00BB5E69"/>
    <w:rsid w:val="00BB5EE3"/>
    <w:rsid w:val="00BB6813"/>
    <w:rsid w:val="00BB695F"/>
    <w:rsid w:val="00BB69BB"/>
    <w:rsid w:val="00BB70F1"/>
    <w:rsid w:val="00BB72A6"/>
    <w:rsid w:val="00BB7678"/>
    <w:rsid w:val="00BB78BB"/>
    <w:rsid w:val="00BB7C97"/>
    <w:rsid w:val="00BC0238"/>
    <w:rsid w:val="00BC0BEE"/>
    <w:rsid w:val="00BC0EDB"/>
    <w:rsid w:val="00BC1284"/>
    <w:rsid w:val="00BC15B1"/>
    <w:rsid w:val="00BC1910"/>
    <w:rsid w:val="00BC1A0A"/>
    <w:rsid w:val="00BC2D53"/>
    <w:rsid w:val="00BC2F59"/>
    <w:rsid w:val="00BC33E6"/>
    <w:rsid w:val="00BC387F"/>
    <w:rsid w:val="00BC4025"/>
    <w:rsid w:val="00BC45A1"/>
    <w:rsid w:val="00BC4791"/>
    <w:rsid w:val="00BC4F29"/>
    <w:rsid w:val="00BC5818"/>
    <w:rsid w:val="00BC5E6A"/>
    <w:rsid w:val="00BC6109"/>
    <w:rsid w:val="00BC66F7"/>
    <w:rsid w:val="00BC684C"/>
    <w:rsid w:val="00BC6938"/>
    <w:rsid w:val="00BC7009"/>
    <w:rsid w:val="00BC7300"/>
    <w:rsid w:val="00BC7459"/>
    <w:rsid w:val="00BC7F8A"/>
    <w:rsid w:val="00BD0694"/>
    <w:rsid w:val="00BD09A8"/>
    <w:rsid w:val="00BD1982"/>
    <w:rsid w:val="00BD38B9"/>
    <w:rsid w:val="00BD45B1"/>
    <w:rsid w:val="00BD58CC"/>
    <w:rsid w:val="00BD5BB1"/>
    <w:rsid w:val="00BD6583"/>
    <w:rsid w:val="00BD66EA"/>
    <w:rsid w:val="00BD6C87"/>
    <w:rsid w:val="00BD7733"/>
    <w:rsid w:val="00BE0030"/>
    <w:rsid w:val="00BE01E1"/>
    <w:rsid w:val="00BE0200"/>
    <w:rsid w:val="00BE077E"/>
    <w:rsid w:val="00BE0B27"/>
    <w:rsid w:val="00BE1306"/>
    <w:rsid w:val="00BE19A7"/>
    <w:rsid w:val="00BE1A98"/>
    <w:rsid w:val="00BE1B9C"/>
    <w:rsid w:val="00BE1E95"/>
    <w:rsid w:val="00BE209B"/>
    <w:rsid w:val="00BE24A0"/>
    <w:rsid w:val="00BE2CC0"/>
    <w:rsid w:val="00BE2DF1"/>
    <w:rsid w:val="00BE304F"/>
    <w:rsid w:val="00BE3733"/>
    <w:rsid w:val="00BE3845"/>
    <w:rsid w:val="00BE393F"/>
    <w:rsid w:val="00BE3F27"/>
    <w:rsid w:val="00BE4226"/>
    <w:rsid w:val="00BE46AD"/>
    <w:rsid w:val="00BE4711"/>
    <w:rsid w:val="00BE49E7"/>
    <w:rsid w:val="00BE4BB4"/>
    <w:rsid w:val="00BE5B4B"/>
    <w:rsid w:val="00BE5DCB"/>
    <w:rsid w:val="00BE5E73"/>
    <w:rsid w:val="00BE5FB2"/>
    <w:rsid w:val="00BE642B"/>
    <w:rsid w:val="00BE6562"/>
    <w:rsid w:val="00BE669C"/>
    <w:rsid w:val="00BE6C06"/>
    <w:rsid w:val="00BE6E83"/>
    <w:rsid w:val="00BE769C"/>
    <w:rsid w:val="00BE7E2C"/>
    <w:rsid w:val="00BF0077"/>
    <w:rsid w:val="00BF011E"/>
    <w:rsid w:val="00BF06C2"/>
    <w:rsid w:val="00BF09BC"/>
    <w:rsid w:val="00BF0F74"/>
    <w:rsid w:val="00BF0FA0"/>
    <w:rsid w:val="00BF0FB9"/>
    <w:rsid w:val="00BF1297"/>
    <w:rsid w:val="00BF12ED"/>
    <w:rsid w:val="00BF1344"/>
    <w:rsid w:val="00BF16BC"/>
    <w:rsid w:val="00BF1ED6"/>
    <w:rsid w:val="00BF1EF6"/>
    <w:rsid w:val="00BF2192"/>
    <w:rsid w:val="00BF29E7"/>
    <w:rsid w:val="00BF2D30"/>
    <w:rsid w:val="00BF34A5"/>
    <w:rsid w:val="00BF3550"/>
    <w:rsid w:val="00BF3617"/>
    <w:rsid w:val="00BF36CF"/>
    <w:rsid w:val="00BF3D4E"/>
    <w:rsid w:val="00BF3F60"/>
    <w:rsid w:val="00BF4785"/>
    <w:rsid w:val="00BF49E7"/>
    <w:rsid w:val="00BF535C"/>
    <w:rsid w:val="00BF560C"/>
    <w:rsid w:val="00BF575E"/>
    <w:rsid w:val="00BF5803"/>
    <w:rsid w:val="00BF5A09"/>
    <w:rsid w:val="00BF5B51"/>
    <w:rsid w:val="00BF5EAB"/>
    <w:rsid w:val="00BF63B1"/>
    <w:rsid w:val="00BF699A"/>
    <w:rsid w:val="00BF6A38"/>
    <w:rsid w:val="00BF6B16"/>
    <w:rsid w:val="00BF774E"/>
    <w:rsid w:val="00C0065B"/>
    <w:rsid w:val="00C00D80"/>
    <w:rsid w:val="00C00FD8"/>
    <w:rsid w:val="00C01076"/>
    <w:rsid w:val="00C029B7"/>
    <w:rsid w:val="00C02BCD"/>
    <w:rsid w:val="00C03079"/>
    <w:rsid w:val="00C03805"/>
    <w:rsid w:val="00C03932"/>
    <w:rsid w:val="00C03F68"/>
    <w:rsid w:val="00C04083"/>
    <w:rsid w:val="00C044D4"/>
    <w:rsid w:val="00C048A9"/>
    <w:rsid w:val="00C0495A"/>
    <w:rsid w:val="00C04FFF"/>
    <w:rsid w:val="00C064FE"/>
    <w:rsid w:val="00C0685A"/>
    <w:rsid w:val="00C071D5"/>
    <w:rsid w:val="00C077B7"/>
    <w:rsid w:val="00C1020A"/>
    <w:rsid w:val="00C10473"/>
    <w:rsid w:val="00C1053E"/>
    <w:rsid w:val="00C105DF"/>
    <w:rsid w:val="00C10619"/>
    <w:rsid w:val="00C10865"/>
    <w:rsid w:val="00C10919"/>
    <w:rsid w:val="00C10F98"/>
    <w:rsid w:val="00C11DB6"/>
    <w:rsid w:val="00C1200E"/>
    <w:rsid w:val="00C12023"/>
    <w:rsid w:val="00C122E4"/>
    <w:rsid w:val="00C1238E"/>
    <w:rsid w:val="00C138B9"/>
    <w:rsid w:val="00C138ED"/>
    <w:rsid w:val="00C147A8"/>
    <w:rsid w:val="00C14E07"/>
    <w:rsid w:val="00C1594B"/>
    <w:rsid w:val="00C15A17"/>
    <w:rsid w:val="00C15B5B"/>
    <w:rsid w:val="00C15BB5"/>
    <w:rsid w:val="00C16884"/>
    <w:rsid w:val="00C16A37"/>
    <w:rsid w:val="00C16CD3"/>
    <w:rsid w:val="00C174A4"/>
    <w:rsid w:val="00C17BE4"/>
    <w:rsid w:val="00C17CBB"/>
    <w:rsid w:val="00C17CF9"/>
    <w:rsid w:val="00C17E3B"/>
    <w:rsid w:val="00C21344"/>
    <w:rsid w:val="00C21948"/>
    <w:rsid w:val="00C21A02"/>
    <w:rsid w:val="00C21AC1"/>
    <w:rsid w:val="00C21FB4"/>
    <w:rsid w:val="00C22351"/>
    <w:rsid w:val="00C224CB"/>
    <w:rsid w:val="00C23505"/>
    <w:rsid w:val="00C235E8"/>
    <w:rsid w:val="00C2370A"/>
    <w:rsid w:val="00C239C2"/>
    <w:rsid w:val="00C23A32"/>
    <w:rsid w:val="00C23A5E"/>
    <w:rsid w:val="00C2475D"/>
    <w:rsid w:val="00C247C8"/>
    <w:rsid w:val="00C2643C"/>
    <w:rsid w:val="00C269D0"/>
    <w:rsid w:val="00C30969"/>
    <w:rsid w:val="00C30CA5"/>
    <w:rsid w:val="00C3108F"/>
    <w:rsid w:val="00C311AF"/>
    <w:rsid w:val="00C3146F"/>
    <w:rsid w:val="00C31979"/>
    <w:rsid w:val="00C323AE"/>
    <w:rsid w:val="00C32DFB"/>
    <w:rsid w:val="00C3333E"/>
    <w:rsid w:val="00C33BCB"/>
    <w:rsid w:val="00C347DD"/>
    <w:rsid w:val="00C34B47"/>
    <w:rsid w:val="00C35223"/>
    <w:rsid w:val="00C357D4"/>
    <w:rsid w:val="00C35919"/>
    <w:rsid w:val="00C35AFA"/>
    <w:rsid w:val="00C36118"/>
    <w:rsid w:val="00C3614A"/>
    <w:rsid w:val="00C3614D"/>
    <w:rsid w:val="00C364A5"/>
    <w:rsid w:val="00C36FD8"/>
    <w:rsid w:val="00C3735B"/>
    <w:rsid w:val="00C37B20"/>
    <w:rsid w:val="00C37DB5"/>
    <w:rsid w:val="00C37F90"/>
    <w:rsid w:val="00C4046A"/>
    <w:rsid w:val="00C408D3"/>
    <w:rsid w:val="00C429B5"/>
    <w:rsid w:val="00C429C2"/>
    <w:rsid w:val="00C42AA7"/>
    <w:rsid w:val="00C42AC0"/>
    <w:rsid w:val="00C42CF7"/>
    <w:rsid w:val="00C43032"/>
    <w:rsid w:val="00C43125"/>
    <w:rsid w:val="00C4335C"/>
    <w:rsid w:val="00C43B50"/>
    <w:rsid w:val="00C43D31"/>
    <w:rsid w:val="00C445F4"/>
    <w:rsid w:val="00C449DB"/>
    <w:rsid w:val="00C45214"/>
    <w:rsid w:val="00C4530C"/>
    <w:rsid w:val="00C463CB"/>
    <w:rsid w:val="00C46478"/>
    <w:rsid w:val="00C464FB"/>
    <w:rsid w:val="00C469D4"/>
    <w:rsid w:val="00C4734B"/>
    <w:rsid w:val="00C47893"/>
    <w:rsid w:val="00C47F3D"/>
    <w:rsid w:val="00C500C9"/>
    <w:rsid w:val="00C50173"/>
    <w:rsid w:val="00C50228"/>
    <w:rsid w:val="00C5063A"/>
    <w:rsid w:val="00C5106F"/>
    <w:rsid w:val="00C510D0"/>
    <w:rsid w:val="00C511E4"/>
    <w:rsid w:val="00C516BC"/>
    <w:rsid w:val="00C51BF4"/>
    <w:rsid w:val="00C51C41"/>
    <w:rsid w:val="00C523A0"/>
    <w:rsid w:val="00C52590"/>
    <w:rsid w:val="00C53334"/>
    <w:rsid w:val="00C5334D"/>
    <w:rsid w:val="00C534C5"/>
    <w:rsid w:val="00C53825"/>
    <w:rsid w:val="00C5393D"/>
    <w:rsid w:val="00C53956"/>
    <w:rsid w:val="00C53E50"/>
    <w:rsid w:val="00C5469A"/>
    <w:rsid w:val="00C55413"/>
    <w:rsid w:val="00C555D5"/>
    <w:rsid w:val="00C55850"/>
    <w:rsid w:val="00C558DE"/>
    <w:rsid w:val="00C56343"/>
    <w:rsid w:val="00C56867"/>
    <w:rsid w:val="00C568D3"/>
    <w:rsid w:val="00C56D1D"/>
    <w:rsid w:val="00C56EB6"/>
    <w:rsid w:val="00C600EE"/>
    <w:rsid w:val="00C6037E"/>
    <w:rsid w:val="00C607D3"/>
    <w:rsid w:val="00C60875"/>
    <w:rsid w:val="00C61169"/>
    <w:rsid w:val="00C614BC"/>
    <w:rsid w:val="00C61A23"/>
    <w:rsid w:val="00C61BA7"/>
    <w:rsid w:val="00C6214A"/>
    <w:rsid w:val="00C628DC"/>
    <w:rsid w:val="00C62AEF"/>
    <w:rsid w:val="00C62B24"/>
    <w:rsid w:val="00C62B28"/>
    <w:rsid w:val="00C62E3D"/>
    <w:rsid w:val="00C63014"/>
    <w:rsid w:val="00C63439"/>
    <w:rsid w:val="00C63604"/>
    <w:rsid w:val="00C638ED"/>
    <w:rsid w:val="00C63ABD"/>
    <w:rsid w:val="00C63B8F"/>
    <w:rsid w:val="00C63DFB"/>
    <w:rsid w:val="00C641A4"/>
    <w:rsid w:val="00C644F0"/>
    <w:rsid w:val="00C649F0"/>
    <w:rsid w:val="00C64E07"/>
    <w:rsid w:val="00C650D0"/>
    <w:rsid w:val="00C6511A"/>
    <w:rsid w:val="00C65605"/>
    <w:rsid w:val="00C6561F"/>
    <w:rsid w:val="00C66424"/>
    <w:rsid w:val="00C66463"/>
    <w:rsid w:val="00C66555"/>
    <w:rsid w:val="00C66916"/>
    <w:rsid w:val="00C674A5"/>
    <w:rsid w:val="00C70114"/>
    <w:rsid w:val="00C70121"/>
    <w:rsid w:val="00C7012E"/>
    <w:rsid w:val="00C702D5"/>
    <w:rsid w:val="00C711B4"/>
    <w:rsid w:val="00C71C28"/>
    <w:rsid w:val="00C71E6F"/>
    <w:rsid w:val="00C7203C"/>
    <w:rsid w:val="00C7228E"/>
    <w:rsid w:val="00C722F7"/>
    <w:rsid w:val="00C7248C"/>
    <w:rsid w:val="00C724C1"/>
    <w:rsid w:val="00C725EC"/>
    <w:rsid w:val="00C72F14"/>
    <w:rsid w:val="00C731C0"/>
    <w:rsid w:val="00C734D4"/>
    <w:rsid w:val="00C736E0"/>
    <w:rsid w:val="00C74D58"/>
    <w:rsid w:val="00C74FF0"/>
    <w:rsid w:val="00C7559A"/>
    <w:rsid w:val="00C75F33"/>
    <w:rsid w:val="00C76058"/>
    <w:rsid w:val="00C76111"/>
    <w:rsid w:val="00C7653B"/>
    <w:rsid w:val="00C768BE"/>
    <w:rsid w:val="00C77472"/>
    <w:rsid w:val="00C77671"/>
    <w:rsid w:val="00C7776D"/>
    <w:rsid w:val="00C77F4D"/>
    <w:rsid w:val="00C803D3"/>
    <w:rsid w:val="00C80545"/>
    <w:rsid w:val="00C81043"/>
    <w:rsid w:val="00C81D50"/>
    <w:rsid w:val="00C81F1A"/>
    <w:rsid w:val="00C820D4"/>
    <w:rsid w:val="00C82187"/>
    <w:rsid w:val="00C82420"/>
    <w:rsid w:val="00C826F6"/>
    <w:rsid w:val="00C832BD"/>
    <w:rsid w:val="00C8332F"/>
    <w:rsid w:val="00C84035"/>
    <w:rsid w:val="00C844BD"/>
    <w:rsid w:val="00C84A30"/>
    <w:rsid w:val="00C84D9F"/>
    <w:rsid w:val="00C84EE4"/>
    <w:rsid w:val="00C85760"/>
    <w:rsid w:val="00C85D1A"/>
    <w:rsid w:val="00C85D1F"/>
    <w:rsid w:val="00C85DCB"/>
    <w:rsid w:val="00C85E3D"/>
    <w:rsid w:val="00C86663"/>
    <w:rsid w:val="00C86E4E"/>
    <w:rsid w:val="00C90340"/>
    <w:rsid w:val="00C903BD"/>
    <w:rsid w:val="00C9111C"/>
    <w:rsid w:val="00C91378"/>
    <w:rsid w:val="00C915CC"/>
    <w:rsid w:val="00C91C22"/>
    <w:rsid w:val="00C91E27"/>
    <w:rsid w:val="00C920FC"/>
    <w:rsid w:val="00C922AA"/>
    <w:rsid w:val="00C92571"/>
    <w:rsid w:val="00C92FFC"/>
    <w:rsid w:val="00C932FF"/>
    <w:rsid w:val="00C9387D"/>
    <w:rsid w:val="00C939B9"/>
    <w:rsid w:val="00C94440"/>
    <w:rsid w:val="00C9479B"/>
    <w:rsid w:val="00C947CC"/>
    <w:rsid w:val="00C9483A"/>
    <w:rsid w:val="00C956E1"/>
    <w:rsid w:val="00C95CBF"/>
    <w:rsid w:val="00C95DC5"/>
    <w:rsid w:val="00C97398"/>
    <w:rsid w:val="00C97552"/>
    <w:rsid w:val="00C978DC"/>
    <w:rsid w:val="00C97E27"/>
    <w:rsid w:val="00C97FDA"/>
    <w:rsid w:val="00CA0086"/>
    <w:rsid w:val="00CA0186"/>
    <w:rsid w:val="00CA0860"/>
    <w:rsid w:val="00CA0AF8"/>
    <w:rsid w:val="00CA0B79"/>
    <w:rsid w:val="00CA0BC1"/>
    <w:rsid w:val="00CA11C1"/>
    <w:rsid w:val="00CA1917"/>
    <w:rsid w:val="00CA1C45"/>
    <w:rsid w:val="00CA1F88"/>
    <w:rsid w:val="00CA2C26"/>
    <w:rsid w:val="00CA2D5E"/>
    <w:rsid w:val="00CA2F91"/>
    <w:rsid w:val="00CA3596"/>
    <w:rsid w:val="00CA3759"/>
    <w:rsid w:val="00CA3A6B"/>
    <w:rsid w:val="00CA47D6"/>
    <w:rsid w:val="00CA4A27"/>
    <w:rsid w:val="00CA50BF"/>
    <w:rsid w:val="00CA53DA"/>
    <w:rsid w:val="00CA54E5"/>
    <w:rsid w:val="00CA56DE"/>
    <w:rsid w:val="00CA56F2"/>
    <w:rsid w:val="00CA59B7"/>
    <w:rsid w:val="00CA6090"/>
    <w:rsid w:val="00CA62A6"/>
    <w:rsid w:val="00CA65AB"/>
    <w:rsid w:val="00CA65D6"/>
    <w:rsid w:val="00CA6651"/>
    <w:rsid w:val="00CA674A"/>
    <w:rsid w:val="00CA6C02"/>
    <w:rsid w:val="00CA76DF"/>
    <w:rsid w:val="00CB031D"/>
    <w:rsid w:val="00CB0354"/>
    <w:rsid w:val="00CB0899"/>
    <w:rsid w:val="00CB211F"/>
    <w:rsid w:val="00CB2334"/>
    <w:rsid w:val="00CB2704"/>
    <w:rsid w:val="00CB286C"/>
    <w:rsid w:val="00CB2956"/>
    <w:rsid w:val="00CB3703"/>
    <w:rsid w:val="00CB3889"/>
    <w:rsid w:val="00CB4268"/>
    <w:rsid w:val="00CB4E03"/>
    <w:rsid w:val="00CB518E"/>
    <w:rsid w:val="00CB5308"/>
    <w:rsid w:val="00CB6481"/>
    <w:rsid w:val="00CB6D6E"/>
    <w:rsid w:val="00CB711F"/>
    <w:rsid w:val="00CB7501"/>
    <w:rsid w:val="00CB7986"/>
    <w:rsid w:val="00CB7CAC"/>
    <w:rsid w:val="00CC180D"/>
    <w:rsid w:val="00CC19CD"/>
    <w:rsid w:val="00CC1A10"/>
    <w:rsid w:val="00CC20CC"/>
    <w:rsid w:val="00CC2CB8"/>
    <w:rsid w:val="00CC320A"/>
    <w:rsid w:val="00CC32AE"/>
    <w:rsid w:val="00CC353F"/>
    <w:rsid w:val="00CC38A1"/>
    <w:rsid w:val="00CC3BA3"/>
    <w:rsid w:val="00CC43BD"/>
    <w:rsid w:val="00CC49A4"/>
    <w:rsid w:val="00CC4C35"/>
    <w:rsid w:val="00CC4E5E"/>
    <w:rsid w:val="00CC55B3"/>
    <w:rsid w:val="00CC6C03"/>
    <w:rsid w:val="00CC6D16"/>
    <w:rsid w:val="00CC773F"/>
    <w:rsid w:val="00CC7D67"/>
    <w:rsid w:val="00CC7E9B"/>
    <w:rsid w:val="00CD0062"/>
    <w:rsid w:val="00CD086A"/>
    <w:rsid w:val="00CD0FAC"/>
    <w:rsid w:val="00CD15A4"/>
    <w:rsid w:val="00CD190C"/>
    <w:rsid w:val="00CD1F0B"/>
    <w:rsid w:val="00CD1F73"/>
    <w:rsid w:val="00CD244A"/>
    <w:rsid w:val="00CD2B19"/>
    <w:rsid w:val="00CD43B8"/>
    <w:rsid w:val="00CD4663"/>
    <w:rsid w:val="00CD467D"/>
    <w:rsid w:val="00CD4D4C"/>
    <w:rsid w:val="00CD4E69"/>
    <w:rsid w:val="00CD50A9"/>
    <w:rsid w:val="00CD5205"/>
    <w:rsid w:val="00CD5312"/>
    <w:rsid w:val="00CD57C8"/>
    <w:rsid w:val="00CD580E"/>
    <w:rsid w:val="00CD5C70"/>
    <w:rsid w:val="00CD6859"/>
    <w:rsid w:val="00CD6E4D"/>
    <w:rsid w:val="00CD7753"/>
    <w:rsid w:val="00CD798F"/>
    <w:rsid w:val="00CD7B56"/>
    <w:rsid w:val="00CD7C38"/>
    <w:rsid w:val="00CE0504"/>
    <w:rsid w:val="00CE099C"/>
    <w:rsid w:val="00CE0ED4"/>
    <w:rsid w:val="00CE114C"/>
    <w:rsid w:val="00CE12FE"/>
    <w:rsid w:val="00CE1547"/>
    <w:rsid w:val="00CE16E9"/>
    <w:rsid w:val="00CE2DE2"/>
    <w:rsid w:val="00CE36A0"/>
    <w:rsid w:val="00CE403C"/>
    <w:rsid w:val="00CE4334"/>
    <w:rsid w:val="00CE440B"/>
    <w:rsid w:val="00CE4669"/>
    <w:rsid w:val="00CE50BD"/>
    <w:rsid w:val="00CE5A06"/>
    <w:rsid w:val="00CE5BA7"/>
    <w:rsid w:val="00CE5CD7"/>
    <w:rsid w:val="00CE5F33"/>
    <w:rsid w:val="00CE7564"/>
    <w:rsid w:val="00CE7739"/>
    <w:rsid w:val="00CE7AD6"/>
    <w:rsid w:val="00CE7E95"/>
    <w:rsid w:val="00CEA9FA"/>
    <w:rsid w:val="00CF0291"/>
    <w:rsid w:val="00CF0541"/>
    <w:rsid w:val="00CF064B"/>
    <w:rsid w:val="00CF0A17"/>
    <w:rsid w:val="00CF0E2A"/>
    <w:rsid w:val="00CF16C8"/>
    <w:rsid w:val="00CF1A93"/>
    <w:rsid w:val="00CF1D09"/>
    <w:rsid w:val="00CF21C6"/>
    <w:rsid w:val="00CF22FF"/>
    <w:rsid w:val="00CF26E5"/>
    <w:rsid w:val="00CF27F8"/>
    <w:rsid w:val="00CF29F1"/>
    <w:rsid w:val="00CF2F27"/>
    <w:rsid w:val="00CF3197"/>
    <w:rsid w:val="00CF3C31"/>
    <w:rsid w:val="00CF4013"/>
    <w:rsid w:val="00CF4F2C"/>
    <w:rsid w:val="00CF5284"/>
    <w:rsid w:val="00CF5957"/>
    <w:rsid w:val="00CF5998"/>
    <w:rsid w:val="00CF64F9"/>
    <w:rsid w:val="00CF6BC8"/>
    <w:rsid w:val="00D00568"/>
    <w:rsid w:val="00D006CE"/>
    <w:rsid w:val="00D008E1"/>
    <w:rsid w:val="00D01108"/>
    <w:rsid w:val="00D019FB"/>
    <w:rsid w:val="00D01A71"/>
    <w:rsid w:val="00D01BEC"/>
    <w:rsid w:val="00D01D23"/>
    <w:rsid w:val="00D01FF8"/>
    <w:rsid w:val="00D02584"/>
    <w:rsid w:val="00D02C4A"/>
    <w:rsid w:val="00D03783"/>
    <w:rsid w:val="00D03CB9"/>
    <w:rsid w:val="00D03EBA"/>
    <w:rsid w:val="00D04729"/>
    <w:rsid w:val="00D05142"/>
    <w:rsid w:val="00D0521C"/>
    <w:rsid w:val="00D05A0C"/>
    <w:rsid w:val="00D05E38"/>
    <w:rsid w:val="00D062C9"/>
    <w:rsid w:val="00D0717A"/>
    <w:rsid w:val="00D07B66"/>
    <w:rsid w:val="00D101B0"/>
    <w:rsid w:val="00D106B8"/>
    <w:rsid w:val="00D10FE1"/>
    <w:rsid w:val="00D11BBC"/>
    <w:rsid w:val="00D11F60"/>
    <w:rsid w:val="00D122C5"/>
    <w:rsid w:val="00D12828"/>
    <w:rsid w:val="00D13027"/>
    <w:rsid w:val="00D13802"/>
    <w:rsid w:val="00D14BA5"/>
    <w:rsid w:val="00D15166"/>
    <w:rsid w:val="00D15546"/>
    <w:rsid w:val="00D15728"/>
    <w:rsid w:val="00D15831"/>
    <w:rsid w:val="00D15B08"/>
    <w:rsid w:val="00D15DFE"/>
    <w:rsid w:val="00D15EAD"/>
    <w:rsid w:val="00D1680E"/>
    <w:rsid w:val="00D16D28"/>
    <w:rsid w:val="00D16FAB"/>
    <w:rsid w:val="00D177AE"/>
    <w:rsid w:val="00D17C55"/>
    <w:rsid w:val="00D17DC4"/>
    <w:rsid w:val="00D21428"/>
    <w:rsid w:val="00D21A29"/>
    <w:rsid w:val="00D22BB9"/>
    <w:rsid w:val="00D230BE"/>
    <w:rsid w:val="00D23415"/>
    <w:rsid w:val="00D23CDE"/>
    <w:rsid w:val="00D23D49"/>
    <w:rsid w:val="00D245DB"/>
    <w:rsid w:val="00D24D33"/>
    <w:rsid w:val="00D256FD"/>
    <w:rsid w:val="00D263CB"/>
    <w:rsid w:val="00D304DF"/>
    <w:rsid w:val="00D306EC"/>
    <w:rsid w:val="00D30B85"/>
    <w:rsid w:val="00D30C6B"/>
    <w:rsid w:val="00D31F9B"/>
    <w:rsid w:val="00D335DA"/>
    <w:rsid w:val="00D33CE1"/>
    <w:rsid w:val="00D33D48"/>
    <w:rsid w:val="00D33D90"/>
    <w:rsid w:val="00D3484D"/>
    <w:rsid w:val="00D34B16"/>
    <w:rsid w:val="00D35106"/>
    <w:rsid w:val="00D35D6A"/>
    <w:rsid w:val="00D35D98"/>
    <w:rsid w:val="00D36139"/>
    <w:rsid w:val="00D36DB5"/>
    <w:rsid w:val="00D36F2B"/>
    <w:rsid w:val="00D36F56"/>
    <w:rsid w:val="00D3731E"/>
    <w:rsid w:val="00D37385"/>
    <w:rsid w:val="00D37E3B"/>
    <w:rsid w:val="00D37F60"/>
    <w:rsid w:val="00D4001D"/>
    <w:rsid w:val="00D400A7"/>
    <w:rsid w:val="00D408DD"/>
    <w:rsid w:val="00D40D75"/>
    <w:rsid w:val="00D4182E"/>
    <w:rsid w:val="00D41847"/>
    <w:rsid w:val="00D41D29"/>
    <w:rsid w:val="00D42154"/>
    <w:rsid w:val="00D42312"/>
    <w:rsid w:val="00D42527"/>
    <w:rsid w:val="00D42C35"/>
    <w:rsid w:val="00D435B4"/>
    <w:rsid w:val="00D438F4"/>
    <w:rsid w:val="00D43E5C"/>
    <w:rsid w:val="00D43F0D"/>
    <w:rsid w:val="00D44065"/>
    <w:rsid w:val="00D44548"/>
    <w:rsid w:val="00D455D1"/>
    <w:rsid w:val="00D4591C"/>
    <w:rsid w:val="00D45A5E"/>
    <w:rsid w:val="00D45B4F"/>
    <w:rsid w:val="00D45E88"/>
    <w:rsid w:val="00D4616C"/>
    <w:rsid w:val="00D47749"/>
    <w:rsid w:val="00D47D08"/>
    <w:rsid w:val="00D50093"/>
    <w:rsid w:val="00D50673"/>
    <w:rsid w:val="00D506D3"/>
    <w:rsid w:val="00D5073E"/>
    <w:rsid w:val="00D509F8"/>
    <w:rsid w:val="00D513D4"/>
    <w:rsid w:val="00D515EE"/>
    <w:rsid w:val="00D538F9"/>
    <w:rsid w:val="00D53A0E"/>
    <w:rsid w:val="00D53EB7"/>
    <w:rsid w:val="00D543E9"/>
    <w:rsid w:val="00D546E4"/>
    <w:rsid w:val="00D54ADE"/>
    <w:rsid w:val="00D55711"/>
    <w:rsid w:val="00D55771"/>
    <w:rsid w:val="00D55E2A"/>
    <w:rsid w:val="00D561B7"/>
    <w:rsid w:val="00D568E4"/>
    <w:rsid w:val="00D5690A"/>
    <w:rsid w:val="00D573F0"/>
    <w:rsid w:val="00D60195"/>
    <w:rsid w:val="00D60933"/>
    <w:rsid w:val="00D6128D"/>
    <w:rsid w:val="00D61303"/>
    <w:rsid w:val="00D6173A"/>
    <w:rsid w:val="00D61B9C"/>
    <w:rsid w:val="00D61EFA"/>
    <w:rsid w:val="00D62C8A"/>
    <w:rsid w:val="00D6338E"/>
    <w:rsid w:val="00D6396B"/>
    <w:rsid w:val="00D63BCC"/>
    <w:rsid w:val="00D64580"/>
    <w:rsid w:val="00D64800"/>
    <w:rsid w:val="00D6557E"/>
    <w:rsid w:val="00D65694"/>
    <w:rsid w:val="00D65B67"/>
    <w:rsid w:val="00D6650B"/>
    <w:rsid w:val="00D66677"/>
    <w:rsid w:val="00D66D49"/>
    <w:rsid w:val="00D66F27"/>
    <w:rsid w:val="00D7093E"/>
    <w:rsid w:val="00D720D0"/>
    <w:rsid w:val="00D72E44"/>
    <w:rsid w:val="00D731D9"/>
    <w:rsid w:val="00D73FB2"/>
    <w:rsid w:val="00D7424C"/>
    <w:rsid w:val="00D7445E"/>
    <w:rsid w:val="00D74F89"/>
    <w:rsid w:val="00D7534D"/>
    <w:rsid w:val="00D759D1"/>
    <w:rsid w:val="00D75B88"/>
    <w:rsid w:val="00D7605D"/>
    <w:rsid w:val="00D76B6D"/>
    <w:rsid w:val="00D76BEC"/>
    <w:rsid w:val="00D76C50"/>
    <w:rsid w:val="00D8003A"/>
    <w:rsid w:val="00D801C7"/>
    <w:rsid w:val="00D804B0"/>
    <w:rsid w:val="00D805DF"/>
    <w:rsid w:val="00D80ED0"/>
    <w:rsid w:val="00D8110D"/>
    <w:rsid w:val="00D812EB"/>
    <w:rsid w:val="00D819D2"/>
    <w:rsid w:val="00D82004"/>
    <w:rsid w:val="00D82229"/>
    <w:rsid w:val="00D8237E"/>
    <w:rsid w:val="00D841B8"/>
    <w:rsid w:val="00D846A3"/>
    <w:rsid w:val="00D859A8"/>
    <w:rsid w:val="00D86312"/>
    <w:rsid w:val="00D87184"/>
    <w:rsid w:val="00D874A2"/>
    <w:rsid w:val="00D87E65"/>
    <w:rsid w:val="00D900B0"/>
    <w:rsid w:val="00D91202"/>
    <w:rsid w:val="00D91521"/>
    <w:rsid w:val="00D91C8B"/>
    <w:rsid w:val="00D91F83"/>
    <w:rsid w:val="00D9202D"/>
    <w:rsid w:val="00D93023"/>
    <w:rsid w:val="00D9312C"/>
    <w:rsid w:val="00D935EF"/>
    <w:rsid w:val="00D947CA"/>
    <w:rsid w:val="00D95769"/>
    <w:rsid w:val="00D959DB"/>
    <w:rsid w:val="00D95BEF"/>
    <w:rsid w:val="00D95DFC"/>
    <w:rsid w:val="00D95E4A"/>
    <w:rsid w:val="00D961BC"/>
    <w:rsid w:val="00D9656F"/>
    <w:rsid w:val="00D97E2E"/>
    <w:rsid w:val="00DA06A4"/>
    <w:rsid w:val="00DA0A36"/>
    <w:rsid w:val="00DA0B44"/>
    <w:rsid w:val="00DA1039"/>
    <w:rsid w:val="00DA171B"/>
    <w:rsid w:val="00DA17D2"/>
    <w:rsid w:val="00DA1897"/>
    <w:rsid w:val="00DA1929"/>
    <w:rsid w:val="00DA1EB9"/>
    <w:rsid w:val="00DA1EDD"/>
    <w:rsid w:val="00DA2011"/>
    <w:rsid w:val="00DA2090"/>
    <w:rsid w:val="00DA2B16"/>
    <w:rsid w:val="00DA2C36"/>
    <w:rsid w:val="00DA312F"/>
    <w:rsid w:val="00DA3531"/>
    <w:rsid w:val="00DA36FD"/>
    <w:rsid w:val="00DA3A51"/>
    <w:rsid w:val="00DA3CA4"/>
    <w:rsid w:val="00DA3FD8"/>
    <w:rsid w:val="00DA41D8"/>
    <w:rsid w:val="00DA424A"/>
    <w:rsid w:val="00DA4548"/>
    <w:rsid w:val="00DA50EC"/>
    <w:rsid w:val="00DA539E"/>
    <w:rsid w:val="00DA54C3"/>
    <w:rsid w:val="00DA6450"/>
    <w:rsid w:val="00DA64BE"/>
    <w:rsid w:val="00DA67B9"/>
    <w:rsid w:val="00DA6C2D"/>
    <w:rsid w:val="00DA7200"/>
    <w:rsid w:val="00DA72C3"/>
    <w:rsid w:val="00DA7763"/>
    <w:rsid w:val="00DA7AB4"/>
    <w:rsid w:val="00DA7F36"/>
    <w:rsid w:val="00DB0283"/>
    <w:rsid w:val="00DB0324"/>
    <w:rsid w:val="00DB0E9F"/>
    <w:rsid w:val="00DB1760"/>
    <w:rsid w:val="00DB18AD"/>
    <w:rsid w:val="00DB2B54"/>
    <w:rsid w:val="00DB2EA4"/>
    <w:rsid w:val="00DB318B"/>
    <w:rsid w:val="00DB31D3"/>
    <w:rsid w:val="00DB3254"/>
    <w:rsid w:val="00DB3C59"/>
    <w:rsid w:val="00DB3D50"/>
    <w:rsid w:val="00DB44D2"/>
    <w:rsid w:val="00DB486D"/>
    <w:rsid w:val="00DB4EAA"/>
    <w:rsid w:val="00DB5362"/>
    <w:rsid w:val="00DB587E"/>
    <w:rsid w:val="00DB6532"/>
    <w:rsid w:val="00DB663C"/>
    <w:rsid w:val="00DB66BF"/>
    <w:rsid w:val="00DB6D29"/>
    <w:rsid w:val="00DB712B"/>
    <w:rsid w:val="00DB732F"/>
    <w:rsid w:val="00DB7C55"/>
    <w:rsid w:val="00DC08C1"/>
    <w:rsid w:val="00DC0D69"/>
    <w:rsid w:val="00DC0E90"/>
    <w:rsid w:val="00DC0F7E"/>
    <w:rsid w:val="00DC1E71"/>
    <w:rsid w:val="00DC2082"/>
    <w:rsid w:val="00DC23C9"/>
    <w:rsid w:val="00DC2983"/>
    <w:rsid w:val="00DC2E7F"/>
    <w:rsid w:val="00DC35D5"/>
    <w:rsid w:val="00DC38DA"/>
    <w:rsid w:val="00DC3C02"/>
    <w:rsid w:val="00DC421C"/>
    <w:rsid w:val="00DC45E7"/>
    <w:rsid w:val="00DC46B4"/>
    <w:rsid w:val="00DC4A6F"/>
    <w:rsid w:val="00DC4B34"/>
    <w:rsid w:val="00DC4FA4"/>
    <w:rsid w:val="00DC50C4"/>
    <w:rsid w:val="00DC5721"/>
    <w:rsid w:val="00DC57EA"/>
    <w:rsid w:val="00DC5B80"/>
    <w:rsid w:val="00DC5B99"/>
    <w:rsid w:val="00DC5D7B"/>
    <w:rsid w:val="00DD068C"/>
    <w:rsid w:val="00DD0E9E"/>
    <w:rsid w:val="00DD109B"/>
    <w:rsid w:val="00DD167B"/>
    <w:rsid w:val="00DD1C08"/>
    <w:rsid w:val="00DD2250"/>
    <w:rsid w:val="00DD2415"/>
    <w:rsid w:val="00DD251E"/>
    <w:rsid w:val="00DD2CDC"/>
    <w:rsid w:val="00DD2D4C"/>
    <w:rsid w:val="00DD2D9E"/>
    <w:rsid w:val="00DD36C0"/>
    <w:rsid w:val="00DD3F98"/>
    <w:rsid w:val="00DD45E6"/>
    <w:rsid w:val="00DD4938"/>
    <w:rsid w:val="00DD5222"/>
    <w:rsid w:val="00DD5DDB"/>
    <w:rsid w:val="00DD5FDF"/>
    <w:rsid w:val="00DD674E"/>
    <w:rsid w:val="00DD6B7F"/>
    <w:rsid w:val="00DD6BED"/>
    <w:rsid w:val="00DD704A"/>
    <w:rsid w:val="00DE0596"/>
    <w:rsid w:val="00DE12A0"/>
    <w:rsid w:val="00DE196E"/>
    <w:rsid w:val="00DE1C23"/>
    <w:rsid w:val="00DE1DFC"/>
    <w:rsid w:val="00DE26D6"/>
    <w:rsid w:val="00DE292C"/>
    <w:rsid w:val="00DE29EB"/>
    <w:rsid w:val="00DE3280"/>
    <w:rsid w:val="00DE38F3"/>
    <w:rsid w:val="00DE4284"/>
    <w:rsid w:val="00DE4367"/>
    <w:rsid w:val="00DE4C6D"/>
    <w:rsid w:val="00DE4D52"/>
    <w:rsid w:val="00DE50C0"/>
    <w:rsid w:val="00DE52C9"/>
    <w:rsid w:val="00DE5AD3"/>
    <w:rsid w:val="00DE5D2E"/>
    <w:rsid w:val="00DE6790"/>
    <w:rsid w:val="00DE6CA9"/>
    <w:rsid w:val="00DE7226"/>
    <w:rsid w:val="00DE73B1"/>
    <w:rsid w:val="00DF01C8"/>
    <w:rsid w:val="00DF023F"/>
    <w:rsid w:val="00DF03A6"/>
    <w:rsid w:val="00DF0514"/>
    <w:rsid w:val="00DF0A96"/>
    <w:rsid w:val="00DF0AAA"/>
    <w:rsid w:val="00DF0D3F"/>
    <w:rsid w:val="00DF0E36"/>
    <w:rsid w:val="00DF13F6"/>
    <w:rsid w:val="00DF1AD4"/>
    <w:rsid w:val="00DF1F9B"/>
    <w:rsid w:val="00DF20B9"/>
    <w:rsid w:val="00DF20DC"/>
    <w:rsid w:val="00DF23BA"/>
    <w:rsid w:val="00DF25DD"/>
    <w:rsid w:val="00DF26EA"/>
    <w:rsid w:val="00DF2786"/>
    <w:rsid w:val="00DF31E4"/>
    <w:rsid w:val="00DF352C"/>
    <w:rsid w:val="00DF385A"/>
    <w:rsid w:val="00DF3D9B"/>
    <w:rsid w:val="00DF3EC2"/>
    <w:rsid w:val="00DF4459"/>
    <w:rsid w:val="00DF44B2"/>
    <w:rsid w:val="00DF4CC1"/>
    <w:rsid w:val="00DF4FA4"/>
    <w:rsid w:val="00DF5384"/>
    <w:rsid w:val="00DF5603"/>
    <w:rsid w:val="00DF59E8"/>
    <w:rsid w:val="00DF5D09"/>
    <w:rsid w:val="00DF5ED9"/>
    <w:rsid w:val="00DF6076"/>
    <w:rsid w:val="00DF6307"/>
    <w:rsid w:val="00DF6A85"/>
    <w:rsid w:val="00DF6F40"/>
    <w:rsid w:val="00DF7ED4"/>
    <w:rsid w:val="00E00150"/>
    <w:rsid w:val="00E003EC"/>
    <w:rsid w:val="00E0056A"/>
    <w:rsid w:val="00E00592"/>
    <w:rsid w:val="00E0069C"/>
    <w:rsid w:val="00E00814"/>
    <w:rsid w:val="00E009BA"/>
    <w:rsid w:val="00E00ED9"/>
    <w:rsid w:val="00E01449"/>
    <w:rsid w:val="00E01824"/>
    <w:rsid w:val="00E01BFD"/>
    <w:rsid w:val="00E01CE3"/>
    <w:rsid w:val="00E02124"/>
    <w:rsid w:val="00E02C5B"/>
    <w:rsid w:val="00E03208"/>
    <w:rsid w:val="00E03A0D"/>
    <w:rsid w:val="00E03AAA"/>
    <w:rsid w:val="00E044AA"/>
    <w:rsid w:val="00E04585"/>
    <w:rsid w:val="00E04651"/>
    <w:rsid w:val="00E04654"/>
    <w:rsid w:val="00E0474F"/>
    <w:rsid w:val="00E048B1"/>
    <w:rsid w:val="00E048F2"/>
    <w:rsid w:val="00E04F53"/>
    <w:rsid w:val="00E0578E"/>
    <w:rsid w:val="00E05B53"/>
    <w:rsid w:val="00E061E9"/>
    <w:rsid w:val="00E06314"/>
    <w:rsid w:val="00E06765"/>
    <w:rsid w:val="00E07699"/>
    <w:rsid w:val="00E102CA"/>
    <w:rsid w:val="00E10BAD"/>
    <w:rsid w:val="00E10D90"/>
    <w:rsid w:val="00E11106"/>
    <w:rsid w:val="00E11284"/>
    <w:rsid w:val="00E117F6"/>
    <w:rsid w:val="00E124C7"/>
    <w:rsid w:val="00E12765"/>
    <w:rsid w:val="00E129A8"/>
    <w:rsid w:val="00E135C4"/>
    <w:rsid w:val="00E137CB"/>
    <w:rsid w:val="00E13A21"/>
    <w:rsid w:val="00E13AEB"/>
    <w:rsid w:val="00E13C0A"/>
    <w:rsid w:val="00E1401A"/>
    <w:rsid w:val="00E1425D"/>
    <w:rsid w:val="00E14296"/>
    <w:rsid w:val="00E14930"/>
    <w:rsid w:val="00E14BC8"/>
    <w:rsid w:val="00E1563B"/>
    <w:rsid w:val="00E15CEC"/>
    <w:rsid w:val="00E160C6"/>
    <w:rsid w:val="00E169CD"/>
    <w:rsid w:val="00E170A9"/>
    <w:rsid w:val="00E17226"/>
    <w:rsid w:val="00E17735"/>
    <w:rsid w:val="00E17CB4"/>
    <w:rsid w:val="00E2014B"/>
    <w:rsid w:val="00E202A3"/>
    <w:rsid w:val="00E202CE"/>
    <w:rsid w:val="00E2034C"/>
    <w:rsid w:val="00E203BF"/>
    <w:rsid w:val="00E205AD"/>
    <w:rsid w:val="00E21857"/>
    <w:rsid w:val="00E22299"/>
    <w:rsid w:val="00E22BBA"/>
    <w:rsid w:val="00E23064"/>
    <w:rsid w:val="00E231E1"/>
    <w:rsid w:val="00E2321B"/>
    <w:rsid w:val="00E232E1"/>
    <w:rsid w:val="00E238D5"/>
    <w:rsid w:val="00E241FF"/>
    <w:rsid w:val="00E24256"/>
    <w:rsid w:val="00E242C2"/>
    <w:rsid w:val="00E243F9"/>
    <w:rsid w:val="00E24514"/>
    <w:rsid w:val="00E24741"/>
    <w:rsid w:val="00E255C3"/>
    <w:rsid w:val="00E25789"/>
    <w:rsid w:val="00E25882"/>
    <w:rsid w:val="00E25A18"/>
    <w:rsid w:val="00E25BA4"/>
    <w:rsid w:val="00E26D53"/>
    <w:rsid w:val="00E26DD4"/>
    <w:rsid w:val="00E26FEB"/>
    <w:rsid w:val="00E27342"/>
    <w:rsid w:val="00E27B1F"/>
    <w:rsid w:val="00E27C26"/>
    <w:rsid w:val="00E27F14"/>
    <w:rsid w:val="00E304B7"/>
    <w:rsid w:val="00E305EA"/>
    <w:rsid w:val="00E30B18"/>
    <w:rsid w:val="00E30F06"/>
    <w:rsid w:val="00E31ACA"/>
    <w:rsid w:val="00E32329"/>
    <w:rsid w:val="00E326B2"/>
    <w:rsid w:val="00E32BEE"/>
    <w:rsid w:val="00E332A9"/>
    <w:rsid w:val="00E33F8F"/>
    <w:rsid w:val="00E34B2F"/>
    <w:rsid w:val="00E3515A"/>
    <w:rsid w:val="00E351A7"/>
    <w:rsid w:val="00E354B3"/>
    <w:rsid w:val="00E358B5"/>
    <w:rsid w:val="00E35972"/>
    <w:rsid w:val="00E35B34"/>
    <w:rsid w:val="00E35F5E"/>
    <w:rsid w:val="00E3617F"/>
    <w:rsid w:val="00E3675A"/>
    <w:rsid w:val="00E369FB"/>
    <w:rsid w:val="00E36CEF"/>
    <w:rsid w:val="00E36D4F"/>
    <w:rsid w:val="00E36E3D"/>
    <w:rsid w:val="00E377AB"/>
    <w:rsid w:val="00E37B26"/>
    <w:rsid w:val="00E37B2B"/>
    <w:rsid w:val="00E409B0"/>
    <w:rsid w:val="00E40A16"/>
    <w:rsid w:val="00E4109A"/>
    <w:rsid w:val="00E4177C"/>
    <w:rsid w:val="00E41BE5"/>
    <w:rsid w:val="00E42A80"/>
    <w:rsid w:val="00E42C42"/>
    <w:rsid w:val="00E42EBE"/>
    <w:rsid w:val="00E43015"/>
    <w:rsid w:val="00E43BB4"/>
    <w:rsid w:val="00E43C59"/>
    <w:rsid w:val="00E44468"/>
    <w:rsid w:val="00E449C7"/>
    <w:rsid w:val="00E44AC7"/>
    <w:rsid w:val="00E4563B"/>
    <w:rsid w:val="00E45DA5"/>
    <w:rsid w:val="00E462B3"/>
    <w:rsid w:val="00E46EE4"/>
    <w:rsid w:val="00E479BD"/>
    <w:rsid w:val="00E50082"/>
    <w:rsid w:val="00E50263"/>
    <w:rsid w:val="00E506AA"/>
    <w:rsid w:val="00E506DC"/>
    <w:rsid w:val="00E50BFC"/>
    <w:rsid w:val="00E50D3C"/>
    <w:rsid w:val="00E50D68"/>
    <w:rsid w:val="00E50E07"/>
    <w:rsid w:val="00E518A0"/>
    <w:rsid w:val="00E519BA"/>
    <w:rsid w:val="00E51C11"/>
    <w:rsid w:val="00E53008"/>
    <w:rsid w:val="00E53152"/>
    <w:rsid w:val="00E531E7"/>
    <w:rsid w:val="00E53672"/>
    <w:rsid w:val="00E5416E"/>
    <w:rsid w:val="00E547BF"/>
    <w:rsid w:val="00E5504D"/>
    <w:rsid w:val="00E55A11"/>
    <w:rsid w:val="00E55DC5"/>
    <w:rsid w:val="00E56458"/>
    <w:rsid w:val="00E56788"/>
    <w:rsid w:val="00E56AAA"/>
    <w:rsid w:val="00E56F6E"/>
    <w:rsid w:val="00E5730A"/>
    <w:rsid w:val="00E57387"/>
    <w:rsid w:val="00E57687"/>
    <w:rsid w:val="00E578BB"/>
    <w:rsid w:val="00E57904"/>
    <w:rsid w:val="00E57B3C"/>
    <w:rsid w:val="00E57C23"/>
    <w:rsid w:val="00E57DBF"/>
    <w:rsid w:val="00E600AA"/>
    <w:rsid w:val="00E60E58"/>
    <w:rsid w:val="00E60EE5"/>
    <w:rsid w:val="00E6105A"/>
    <w:rsid w:val="00E610EC"/>
    <w:rsid w:val="00E61466"/>
    <w:rsid w:val="00E6159C"/>
    <w:rsid w:val="00E61772"/>
    <w:rsid w:val="00E61BE2"/>
    <w:rsid w:val="00E62181"/>
    <w:rsid w:val="00E628C9"/>
    <w:rsid w:val="00E62FFD"/>
    <w:rsid w:val="00E630AA"/>
    <w:rsid w:val="00E64306"/>
    <w:rsid w:val="00E645C0"/>
    <w:rsid w:val="00E64B8F"/>
    <w:rsid w:val="00E64C37"/>
    <w:rsid w:val="00E65AFB"/>
    <w:rsid w:val="00E661ED"/>
    <w:rsid w:val="00E66782"/>
    <w:rsid w:val="00E669CC"/>
    <w:rsid w:val="00E66E9B"/>
    <w:rsid w:val="00E6714C"/>
    <w:rsid w:val="00E671D9"/>
    <w:rsid w:val="00E67253"/>
    <w:rsid w:val="00E67382"/>
    <w:rsid w:val="00E700E0"/>
    <w:rsid w:val="00E7055A"/>
    <w:rsid w:val="00E706A4"/>
    <w:rsid w:val="00E712AD"/>
    <w:rsid w:val="00E717B6"/>
    <w:rsid w:val="00E71800"/>
    <w:rsid w:val="00E71A0B"/>
    <w:rsid w:val="00E72200"/>
    <w:rsid w:val="00E72304"/>
    <w:rsid w:val="00E72818"/>
    <w:rsid w:val="00E72A78"/>
    <w:rsid w:val="00E72B18"/>
    <w:rsid w:val="00E73069"/>
    <w:rsid w:val="00E730E6"/>
    <w:rsid w:val="00E738BC"/>
    <w:rsid w:val="00E73B30"/>
    <w:rsid w:val="00E73C8D"/>
    <w:rsid w:val="00E7441A"/>
    <w:rsid w:val="00E74AC4"/>
    <w:rsid w:val="00E75050"/>
    <w:rsid w:val="00E75934"/>
    <w:rsid w:val="00E767CF"/>
    <w:rsid w:val="00E768C7"/>
    <w:rsid w:val="00E76E1C"/>
    <w:rsid w:val="00E76F88"/>
    <w:rsid w:val="00E7727A"/>
    <w:rsid w:val="00E774CC"/>
    <w:rsid w:val="00E77E6E"/>
    <w:rsid w:val="00E80078"/>
    <w:rsid w:val="00E805D9"/>
    <w:rsid w:val="00E80CF5"/>
    <w:rsid w:val="00E80DD5"/>
    <w:rsid w:val="00E81371"/>
    <w:rsid w:val="00E815A8"/>
    <w:rsid w:val="00E81815"/>
    <w:rsid w:val="00E81B7B"/>
    <w:rsid w:val="00E81B7D"/>
    <w:rsid w:val="00E81B8B"/>
    <w:rsid w:val="00E81C2C"/>
    <w:rsid w:val="00E81F0B"/>
    <w:rsid w:val="00E82557"/>
    <w:rsid w:val="00E8334C"/>
    <w:rsid w:val="00E83CB0"/>
    <w:rsid w:val="00E84915"/>
    <w:rsid w:val="00E84A88"/>
    <w:rsid w:val="00E866F5"/>
    <w:rsid w:val="00E86DF0"/>
    <w:rsid w:val="00E87465"/>
    <w:rsid w:val="00E87E93"/>
    <w:rsid w:val="00E905BB"/>
    <w:rsid w:val="00E90654"/>
    <w:rsid w:val="00E90825"/>
    <w:rsid w:val="00E90C4F"/>
    <w:rsid w:val="00E91193"/>
    <w:rsid w:val="00E9140B"/>
    <w:rsid w:val="00E9142D"/>
    <w:rsid w:val="00E91800"/>
    <w:rsid w:val="00E92585"/>
    <w:rsid w:val="00E93443"/>
    <w:rsid w:val="00E946A8"/>
    <w:rsid w:val="00E94A1F"/>
    <w:rsid w:val="00E94B6C"/>
    <w:rsid w:val="00E94C69"/>
    <w:rsid w:val="00E95F52"/>
    <w:rsid w:val="00E9644A"/>
    <w:rsid w:val="00E96F39"/>
    <w:rsid w:val="00E979BE"/>
    <w:rsid w:val="00E97EC6"/>
    <w:rsid w:val="00E97FAD"/>
    <w:rsid w:val="00E97FF9"/>
    <w:rsid w:val="00E97FFE"/>
    <w:rsid w:val="00EA0369"/>
    <w:rsid w:val="00EA0C4B"/>
    <w:rsid w:val="00EA0ED6"/>
    <w:rsid w:val="00EA10F3"/>
    <w:rsid w:val="00EA159A"/>
    <w:rsid w:val="00EA17F9"/>
    <w:rsid w:val="00EA1F0F"/>
    <w:rsid w:val="00EA1FA7"/>
    <w:rsid w:val="00EA22F7"/>
    <w:rsid w:val="00EA2E31"/>
    <w:rsid w:val="00EA32B2"/>
    <w:rsid w:val="00EA3928"/>
    <w:rsid w:val="00EA473C"/>
    <w:rsid w:val="00EA4EE4"/>
    <w:rsid w:val="00EA5007"/>
    <w:rsid w:val="00EA52A5"/>
    <w:rsid w:val="00EA652D"/>
    <w:rsid w:val="00EA66D3"/>
    <w:rsid w:val="00EA6728"/>
    <w:rsid w:val="00EA6A33"/>
    <w:rsid w:val="00EA6D97"/>
    <w:rsid w:val="00EA7124"/>
    <w:rsid w:val="00EB0BD3"/>
    <w:rsid w:val="00EB132E"/>
    <w:rsid w:val="00EB1B2E"/>
    <w:rsid w:val="00EB1F77"/>
    <w:rsid w:val="00EB1FE2"/>
    <w:rsid w:val="00EB200A"/>
    <w:rsid w:val="00EB206D"/>
    <w:rsid w:val="00EB21E6"/>
    <w:rsid w:val="00EB2A0C"/>
    <w:rsid w:val="00EB2A9E"/>
    <w:rsid w:val="00EB30E7"/>
    <w:rsid w:val="00EB356F"/>
    <w:rsid w:val="00EB4853"/>
    <w:rsid w:val="00EB53FA"/>
    <w:rsid w:val="00EB56DB"/>
    <w:rsid w:val="00EB5B0F"/>
    <w:rsid w:val="00EB68AE"/>
    <w:rsid w:val="00EB6F9C"/>
    <w:rsid w:val="00EB7ADC"/>
    <w:rsid w:val="00EC002E"/>
    <w:rsid w:val="00EC0FC6"/>
    <w:rsid w:val="00EC1231"/>
    <w:rsid w:val="00EC15D8"/>
    <w:rsid w:val="00EC1649"/>
    <w:rsid w:val="00EC164D"/>
    <w:rsid w:val="00EC1748"/>
    <w:rsid w:val="00EC1B82"/>
    <w:rsid w:val="00EC1C07"/>
    <w:rsid w:val="00EC1E23"/>
    <w:rsid w:val="00EC29CB"/>
    <w:rsid w:val="00EC2A92"/>
    <w:rsid w:val="00EC396E"/>
    <w:rsid w:val="00EC418E"/>
    <w:rsid w:val="00EC4372"/>
    <w:rsid w:val="00EC49F5"/>
    <w:rsid w:val="00EC4A52"/>
    <w:rsid w:val="00EC4AEE"/>
    <w:rsid w:val="00EC538A"/>
    <w:rsid w:val="00EC57BD"/>
    <w:rsid w:val="00EC58E0"/>
    <w:rsid w:val="00EC5F6C"/>
    <w:rsid w:val="00EC61EB"/>
    <w:rsid w:val="00EC68E2"/>
    <w:rsid w:val="00EC6AA8"/>
    <w:rsid w:val="00EC6C87"/>
    <w:rsid w:val="00EC6D24"/>
    <w:rsid w:val="00EC7702"/>
    <w:rsid w:val="00EC77B3"/>
    <w:rsid w:val="00EC7C65"/>
    <w:rsid w:val="00ED1526"/>
    <w:rsid w:val="00ED1591"/>
    <w:rsid w:val="00ED1D74"/>
    <w:rsid w:val="00ED2102"/>
    <w:rsid w:val="00ED22E7"/>
    <w:rsid w:val="00ED237D"/>
    <w:rsid w:val="00ED24B3"/>
    <w:rsid w:val="00ED2666"/>
    <w:rsid w:val="00ED3C0D"/>
    <w:rsid w:val="00ED3FEC"/>
    <w:rsid w:val="00ED401C"/>
    <w:rsid w:val="00ED4778"/>
    <w:rsid w:val="00ED4C55"/>
    <w:rsid w:val="00ED50D4"/>
    <w:rsid w:val="00ED52AC"/>
    <w:rsid w:val="00ED52E1"/>
    <w:rsid w:val="00ED56DF"/>
    <w:rsid w:val="00ED592F"/>
    <w:rsid w:val="00ED59DC"/>
    <w:rsid w:val="00ED5A21"/>
    <w:rsid w:val="00ED5F29"/>
    <w:rsid w:val="00ED6214"/>
    <w:rsid w:val="00ED62DB"/>
    <w:rsid w:val="00ED6703"/>
    <w:rsid w:val="00ED6789"/>
    <w:rsid w:val="00ED6B85"/>
    <w:rsid w:val="00ED6C4E"/>
    <w:rsid w:val="00ED7AFE"/>
    <w:rsid w:val="00ED7B54"/>
    <w:rsid w:val="00EE0472"/>
    <w:rsid w:val="00EE0F06"/>
    <w:rsid w:val="00EE17E5"/>
    <w:rsid w:val="00EE1D5E"/>
    <w:rsid w:val="00EE264C"/>
    <w:rsid w:val="00EE2971"/>
    <w:rsid w:val="00EE2A98"/>
    <w:rsid w:val="00EE2D6C"/>
    <w:rsid w:val="00EE326E"/>
    <w:rsid w:val="00EE34C3"/>
    <w:rsid w:val="00EE4040"/>
    <w:rsid w:val="00EE4C53"/>
    <w:rsid w:val="00EE4CCF"/>
    <w:rsid w:val="00EE504B"/>
    <w:rsid w:val="00EE591A"/>
    <w:rsid w:val="00EE6073"/>
    <w:rsid w:val="00EE6301"/>
    <w:rsid w:val="00EE6A65"/>
    <w:rsid w:val="00EE6CC0"/>
    <w:rsid w:val="00EE70B8"/>
    <w:rsid w:val="00EE710E"/>
    <w:rsid w:val="00EE7203"/>
    <w:rsid w:val="00EE72B4"/>
    <w:rsid w:val="00EE7481"/>
    <w:rsid w:val="00EE7ACB"/>
    <w:rsid w:val="00EF098A"/>
    <w:rsid w:val="00EF172B"/>
    <w:rsid w:val="00EF18C8"/>
    <w:rsid w:val="00EF2F06"/>
    <w:rsid w:val="00EF36F7"/>
    <w:rsid w:val="00EF3F0B"/>
    <w:rsid w:val="00EF41C9"/>
    <w:rsid w:val="00EF431D"/>
    <w:rsid w:val="00EF4A15"/>
    <w:rsid w:val="00EF50B7"/>
    <w:rsid w:val="00EF5969"/>
    <w:rsid w:val="00EF5F41"/>
    <w:rsid w:val="00EF6CA6"/>
    <w:rsid w:val="00EF70F0"/>
    <w:rsid w:val="00EF7779"/>
    <w:rsid w:val="00EF77C8"/>
    <w:rsid w:val="00EF78AF"/>
    <w:rsid w:val="00EF78D6"/>
    <w:rsid w:val="00F0005E"/>
    <w:rsid w:val="00F001D6"/>
    <w:rsid w:val="00F00AA4"/>
    <w:rsid w:val="00F00E0F"/>
    <w:rsid w:val="00F01226"/>
    <w:rsid w:val="00F0186E"/>
    <w:rsid w:val="00F01D48"/>
    <w:rsid w:val="00F02933"/>
    <w:rsid w:val="00F02968"/>
    <w:rsid w:val="00F02EF6"/>
    <w:rsid w:val="00F03078"/>
    <w:rsid w:val="00F03399"/>
    <w:rsid w:val="00F033ED"/>
    <w:rsid w:val="00F04887"/>
    <w:rsid w:val="00F0494A"/>
    <w:rsid w:val="00F0513D"/>
    <w:rsid w:val="00F05DC3"/>
    <w:rsid w:val="00F05DDA"/>
    <w:rsid w:val="00F05FDD"/>
    <w:rsid w:val="00F063E6"/>
    <w:rsid w:val="00F06424"/>
    <w:rsid w:val="00F06603"/>
    <w:rsid w:val="00F06E46"/>
    <w:rsid w:val="00F06FF0"/>
    <w:rsid w:val="00F07247"/>
    <w:rsid w:val="00F07769"/>
    <w:rsid w:val="00F07CC6"/>
    <w:rsid w:val="00F07E79"/>
    <w:rsid w:val="00F10A04"/>
    <w:rsid w:val="00F10C52"/>
    <w:rsid w:val="00F10FF6"/>
    <w:rsid w:val="00F111A4"/>
    <w:rsid w:val="00F11372"/>
    <w:rsid w:val="00F11D60"/>
    <w:rsid w:val="00F12393"/>
    <w:rsid w:val="00F12820"/>
    <w:rsid w:val="00F1319C"/>
    <w:rsid w:val="00F13AD0"/>
    <w:rsid w:val="00F14164"/>
    <w:rsid w:val="00F147EC"/>
    <w:rsid w:val="00F1541B"/>
    <w:rsid w:val="00F15611"/>
    <w:rsid w:val="00F15E1C"/>
    <w:rsid w:val="00F1606A"/>
    <w:rsid w:val="00F160C6"/>
    <w:rsid w:val="00F165E0"/>
    <w:rsid w:val="00F16908"/>
    <w:rsid w:val="00F16AB0"/>
    <w:rsid w:val="00F16C7F"/>
    <w:rsid w:val="00F16DA4"/>
    <w:rsid w:val="00F171A9"/>
    <w:rsid w:val="00F17621"/>
    <w:rsid w:val="00F179ED"/>
    <w:rsid w:val="00F17B4A"/>
    <w:rsid w:val="00F17C84"/>
    <w:rsid w:val="00F206EC"/>
    <w:rsid w:val="00F20BCF"/>
    <w:rsid w:val="00F21563"/>
    <w:rsid w:val="00F22F46"/>
    <w:rsid w:val="00F231EA"/>
    <w:rsid w:val="00F23686"/>
    <w:rsid w:val="00F23976"/>
    <w:rsid w:val="00F23A47"/>
    <w:rsid w:val="00F2412A"/>
    <w:rsid w:val="00F243F1"/>
    <w:rsid w:val="00F244F4"/>
    <w:rsid w:val="00F245FC"/>
    <w:rsid w:val="00F2528E"/>
    <w:rsid w:val="00F25915"/>
    <w:rsid w:val="00F25A7A"/>
    <w:rsid w:val="00F25BE7"/>
    <w:rsid w:val="00F2604D"/>
    <w:rsid w:val="00F266AC"/>
    <w:rsid w:val="00F269AE"/>
    <w:rsid w:val="00F26AE1"/>
    <w:rsid w:val="00F26E5A"/>
    <w:rsid w:val="00F26E8D"/>
    <w:rsid w:val="00F26F7B"/>
    <w:rsid w:val="00F27774"/>
    <w:rsid w:val="00F2797F"/>
    <w:rsid w:val="00F27F1B"/>
    <w:rsid w:val="00F30161"/>
    <w:rsid w:val="00F301F1"/>
    <w:rsid w:val="00F307DB"/>
    <w:rsid w:val="00F30818"/>
    <w:rsid w:val="00F30FE4"/>
    <w:rsid w:val="00F310EF"/>
    <w:rsid w:val="00F311F2"/>
    <w:rsid w:val="00F31810"/>
    <w:rsid w:val="00F31CF9"/>
    <w:rsid w:val="00F32C16"/>
    <w:rsid w:val="00F32D98"/>
    <w:rsid w:val="00F32E88"/>
    <w:rsid w:val="00F32F77"/>
    <w:rsid w:val="00F343D0"/>
    <w:rsid w:val="00F34ABE"/>
    <w:rsid w:val="00F34BBB"/>
    <w:rsid w:val="00F355B5"/>
    <w:rsid w:val="00F356EC"/>
    <w:rsid w:val="00F35711"/>
    <w:rsid w:val="00F35C61"/>
    <w:rsid w:val="00F35FC8"/>
    <w:rsid w:val="00F3643F"/>
    <w:rsid w:val="00F372B2"/>
    <w:rsid w:val="00F374A3"/>
    <w:rsid w:val="00F37930"/>
    <w:rsid w:val="00F37EAE"/>
    <w:rsid w:val="00F40164"/>
    <w:rsid w:val="00F40749"/>
    <w:rsid w:val="00F40BF5"/>
    <w:rsid w:val="00F40CFB"/>
    <w:rsid w:val="00F4105E"/>
    <w:rsid w:val="00F41792"/>
    <w:rsid w:val="00F417D2"/>
    <w:rsid w:val="00F417F8"/>
    <w:rsid w:val="00F429E7"/>
    <w:rsid w:val="00F4306A"/>
    <w:rsid w:val="00F437E1"/>
    <w:rsid w:val="00F43894"/>
    <w:rsid w:val="00F441EC"/>
    <w:rsid w:val="00F449EB"/>
    <w:rsid w:val="00F457C1"/>
    <w:rsid w:val="00F4692E"/>
    <w:rsid w:val="00F46D22"/>
    <w:rsid w:val="00F46F9D"/>
    <w:rsid w:val="00F4787D"/>
    <w:rsid w:val="00F50809"/>
    <w:rsid w:val="00F50ED9"/>
    <w:rsid w:val="00F5163D"/>
    <w:rsid w:val="00F51BE3"/>
    <w:rsid w:val="00F5267A"/>
    <w:rsid w:val="00F52E7B"/>
    <w:rsid w:val="00F530A5"/>
    <w:rsid w:val="00F534F6"/>
    <w:rsid w:val="00F53E8D"/>
    <w:rsid w:val="00F55032"/>
    <w:rsid w:val="00F55053"/>
    <w:rsid w:val="00F55315"/>
    <w:rsid w:val="00F55906"/>
    <w:rsid w:val="00F55A15"/>
    <w:rsid w:val="00F55BAC"/>
    <w:rsid w:val="00F55C06"/>
    <w:rsid w:val="00F56489"/>
    <w:rsid w:val="00F57022"/>
    <w:rsid w:val="00F57168"/>
    <w:rsid w:val="00F57AAC"/>
    <w:rsid w:val="00F57C3F"/>
    <w:rsid w:val="00F60A1A"/>
    <w:rsid w:val="00F60AEB"/>
    <w:rsid w:val="00F60FCB"/>
    <w:rsid w:val="00F61CE7"/>
    <w:rsid w:val="00F61F6D"/>
    <w:rsid w:val="00F62125"/>
    <w:rsid w:val="00F635AD"/>
    <w:rsid w:val="00F63651"/>
    <w:rsid w:val="00F63E36"/>
    <w:rsid w:val="00F641BC"/>
    <w:rsid w:val="00F64225"/>
    <w:rsid w:val="00F648F6"/>
    <w:rsid w:val="00F65088"/>
    <w:rsid w:val="00F65199"/>
    <w:rsid w:val="00F655B0"/>
    <w:rsid w:val="00F65A25"/>
    <w:rsid w:val="00F65AEC"/>
    <w:rsid w:val="00F65FD6"/>
    <w:rsid w:val="00F66ECF"/>
    <w:rsid w:val="00F66F57"/>
    <w:rsid w:val="00F6730F"/>
    <w:rsid w:val="00F6770D"/>
    <w:rsid w:val="00F67EE3"/>
    <w:rsid w:val="00F7024F"/>
    <w:rsid w:val="00F702B9"/>
    <w:rsid w:val="00F70AF3"/>
    <w:rsid w:val="00F70FE5"/>
    <w:rsid w:val="00F71525"/>
    <w:rsid w:val="00F71D6C"/>
    <w:rsid w:val="00F7205E"/>
    <w:rsid w:val="00F720D5"/>
    <w:rsid w:val="00F7214A"/>
    <w:rsid w:val="00F72163"/>
    <w:rsid w:val="00F72770"/>
    <w:rsid w:val="00F728DB"/>
    <w:rsid w:val="00F7295C"/>
    <w:rsid w:val="00F72CE8"/>
    <w:rsid w:val="00F72DCC"/>
    <w:rsid w:val="00F732F6"/>
    <w:rsid w:val="00F73562"/>
    <w:rsid w:val="00F74087"/>
    <w:rsid w:val="00F74FFB"/>
    <w:rsid w:val="00F7687D"/>
    <w:rsid w:val="00F76E47"/>
    <w:rsid w:val="00F76EF7"/>
    <w:rsid w:val="00F77C8E"/>
    <w:rsid w:val="00F77DBC"/>
    <w:rsid w:val="00F77DD8"/>
    <w:rsid w:val="00F80994"/>
    <w:rsid w:val="00F81265"/>
    <w:rsid w:val="00F8218F"/>
    <w:rsid w:val="00F82A8A"/>
    <w:rsid w:val="00F834FE"/>
    <w:rsid w:val="00F8386B"/>
    <w:rsid w:val="00F83EAC"/>
    <w:rsid w:val="00F84010"/>
    <w:rsid w:val="00F84225"/>
    <w:rsid w:val="00F8467D"/>
    <w:rsid w:val="00F84CF4"/>
    <w:rsid w:val="00F84D42"/>
    <w:rsid w:val="00F8553C"/>
    <w:rsid w:val="00F85C38"/>
    <w:rsid w:val="00F86098"/>
    <w:rsid w:val="00F864A5"/>
    <w:rsid w:val="00F868D9"/>
    <w:rsid w:val="00F86BCB"/>
    <w:rsid w:val="00F86D96"/>
    <w:rsid w:val="00F87D87"/>
    <w:rsid w:val="00F901AC"/>
    <w:rsid w:val="00F9025B"/>
    <w:rsid w:val="00F9047A"/>
    <w:rsid w:val="00F906C4"/>
    <w:rsid w:val="00F9080E"/>
    <w:rsid w:val="00F90ACD"/>
    <w:rsid w:val="00F915D8"/>
    <w:rsid w:val="00F917E1"/>
    <w:rsid w:val="00F91B93"/>
    <w:rsid w:val="00F91BC3"/>
    <w:rsid w:val="00F91F3F"/>
    <w:rsid w:val="00F92176"/>
    <w:rsid w:val="00F92301"/>
    <w:rsid w:val="00F92772"/>
    <w:rsid w:val="00F927DD"/>
    <w:rsid w:val="00F92880"/>
    <w:rsid w:val="00F92A17"/>
    <w:rsid w:val="00F943C6"/>
    <w:rsid w:val="00F9445C"/>
    <w:rsid w:val="00F94FCE"/>
    <w:rsid w:val="00F954AA"/>
    <w:rsid w:val="00F954EA"/>
    <w:rsid w:val="00F958B5"/>
    <w:rsid w:val="00F95DB0"/>
    <w:rsid w:val="00F96F2C"/>
    <w:rsid w:val="00F9731E"/>
    <w:rsid w:val="00FA016B"/>
    <w:rsid w:val="00FA03A1"/>
    <w:rsid w:val="00FA0813"/>
    <w:rsid w:val="00FA0F9C"/>
    <w:rsid w:val="00FA1B3D"/>
    <w:rsid w:val="00FA20B8"/>
    <w:rsid w:val="00FA22DC"/>
    <w:rsid w:val="00FA25A0"/>
    <w:rsid w:val="00FA2CF1"/>
    <w:rsid w:val="00FA2DBF"/>
    <w:rsid w:val="00FA2F2B"/>
    <w:rsid w:val="00FA3458"/>
    <w:rsid w:val="00FA44DB"/>
    <w:rsid w:val="00FA50AB"/>
    <w:rsid w:val="00FA53E8"/>
    <w:rsid w:val="00FA581B"/>
    <w:rsid w:val="00FA58D4"/>
    <w:rsid w:val="00FA5DC3"/>
    <w:rsid w:val="00FA6CC9"/>
    <w:rsid w:val="00FA6DEA"/>
    <w:rsid w:val="00FA6E4B"/>
    <w:rsid w:val="00FA6E8D"/>
    <w:rsid w:val="00FA773D"/>
    <w:rsid w:val="00FB02F7"/>
    <w:rsid w:val="00FB0FF3"/>
    <w:rsid w:val="00FB1270"/>
    <w:rsid w:val="00FB16C4"/>
    <w:rsid w:val="00FB18A1"/>
    <w:rsid w:val="00FB1D49"/>
    <w:rsid w:val="00FB21D2"/>
    <w:rsid w:val="00FB2309"/>
    <w:rsid w:val="00FB2994"/>
    <w:rsid w:val="00FB33C8"/>
    <w:rsid w:val="00FB3C66"/>
    <w:rsid w:val="00FB4319"/>
    <w:rsid w:val="00FB45DB"/>
    <w:rsid w:val="00FB4634"/>
    <w:rsid w:val="00FB4C14"/>
    <w:rsid w:val="00FB4F81"/>
    <w:rsid w:val="00FB5183"/>
    <w:rsid w:val="00FB5212"/>
    <w:rsid w:val="00FB55E1"/>
    <w:rsid w:val="00FB5A5E"/>
    <w:rsid w:val="00FB5C61"/>
    <w:rsid w:val="00FB5FE0"/>
    <w:rsid w:val="00FB6274"/>
    <w:rsid w:val="00FB6549"/>
    <w:rsid w:val="00FB6DD4"/>
    <w:rsid w:val="00FB7020"/>
    <w:rsid w:val="00FB7226"/>
    <w:rsid w:val="00FB7337"/>
    <w:rsid w:val="00FB7AA2"/>
    <w:rsid w:val="00FC02D1"/>
    <w:rsid w:val="00FC1992"/>
    <w:rsid w:val="00FC3461"/>
    <w:rsid w:val="00FC35D3"/>
    <w:rsid w:val="00FC381B"/>
    <w:rsid w:val="00FC3986"/>
    <w:rsid w:val="00FC3ACA"/>
    <w:rsid w:val="00FC3B2B"/>
    <w:rsid w:val="00FC43A3"/>
    <w:rsid w:val="00FC43C5"/>
    <w:rsid w:val="00FC52F3"/>
    <w:rsid w:val="00FC59BB"/>
    <w:rsid w:val="00FC5F1A"/>
    <w:rsid w:val="00FC607E"/>
    <w:rsid w:val="00FC623B"/>
    <w:rsid w:val="00FC6243"/>
    <w:rsid w:val="00FC6AFE"/>
    <w:rsid w:val="00FC6C38"/>
    <w:rsid w:val="00FC75A7"/>
    <w:rsid w:val="00FC7A58"/>
    <w:rsid w:val="00FC7BB5"/>
    <w:rsid w:val="00FC7C3E"/>
    <w:rsid w:val="00FC7F32"/>
    <w:rsid w:val="00FD0287"/>
    <w:rsid w:val="00FD04B3"/>
    <w:rsid w:val="00FD0D1E"/>
    <w:rsid w:val="00FD0F66"/>
    <w:rsid w:val="00FD125E"/>
    <w:rsid w:val="00FD1615"/>
    <w:rsid w:val="00FD1C2C"/>
    <w:rsid w:val="00FD1EE5"/>
    <w:rsid w:val="00FD2705"/>
    <w:rsid w:val="00FD2B6E"/>
    <w:rsid w:val="00FD2BB3"/>
    <w:rsid w:val="00FD30D3"/>
    <w:rsid w:val="00FD3600"/>
    <w:rsid w:val="00FD369B"/>
    <w:rsid w:val="00FD38D7"/>
    <w:rsid w:val="00FD38F3"/>
    <w:rsid w:val="00FD3AC5"/>
    <w:rsid w:val="00FD3AF7"/>
    <w:rsid w:val="00FD3C85"/>
    <w:rsid w:val="00FD3CF3"/>
    <w:rsid w:val="00FD4616"/>
    <w:rsid w:val="00FD46BA"/>
    <w:rsid w:val="00FD4D27"/>
    <w:rsid w:val="00FD5093"/>
    <w:rsid w:val="00FD57CD"/>
    <w:rsid w:val="00FD5D20"/>
    <w:rsid w:val="00FD5E51"/>
    <w:rsid w:val="00FD5F48"/>
    <w:rsid w:val="00FD64DC"/>
    <w:rsid w:val="00FD6CAD"/>
    <w:rsid w:val="00FD6FA5"/>
    <w:rsid w:val="00FD703D"/>
    <w:rsid w:val="00FD7A13"/>
    <w:rsid w:val="00FD7F3D"/>
    <w:rsid w:val="00FE0855"/>
    <w:rsid w:val="00FE09C2"/>
    <w:rsid w:val="00FE0AF4"/>
    <w:rsid w:val="00FE0F5C"/>
    <w:rsid w:val="00FE0F74"/>
    <w:rsid w:val="00FE123A"/>
    <w:rsid w:val="00FE1735"/>
    <w:rsid w:val="00FE1AB7"/>
    <w:rsid w:val="00FE1CCA"/>
    <w:rsid w:val="00FE1CDD"/>
    <w:rsid w:val="00FE292F"/>
    <w:rsid w:val="00FE29CC"/>
    <w:rsid w:val="00FE3A3C"/>
    <w:rsid w:val="00FE4216"/>
    <w:rsid w:val="00FE438C"/>
    <w:rsid w:val="00FE47B6"/>
    <w:rsid w:val="00FE4843"/>
    <w:rsid w:val="00FE4C49"/>
    <w:rsid w:val="00FE590B"/>
    <w:rsid w:val="00FE5AAD"/>
    <w:rsid w:val="00FE5AF6"/>
    <w:rsid w:val="00FE5FD3"/>
    <w:rsid w:val="00FE6805"/>
    <w:rsid w:val="00FE7120"/>
    <w:rsid w:val="00FE7A14"/>
    <w:rsid w:val="00FF017B"/>
    <w:rsid w:val="00FF0573"/>
    <w:rsid w:val="00FF0AB1"/>
    <w:rsid w:val="00FF0CBA"/>
    <w:rsid w:val="00FF0E52"/>
    <w:rsid w:val="00FF0F28"/>
    <w:rsid w:val="00FF1B1B"/>
    <w:rsid w:val="00FF2561"/>
    <w:rsid w:val="00FF26B6"/>
    <w:rsid w:val="00FF2F0B"/>
    <w:rsid w:val="00FF340D"/>
    <w:rsid w:val="00FF36E2"/>
    <w:rsid w:val="00FF3B29"/>
    <w:rsid w:val="00FF3E64"/>
    <w:rsid w:val="00FF4057"/>
    <w:rsid w:val="00FF417E"/>
    <w:rsid w:val="00FF4822"/>
    <w:rsid w:val="00FF4D6D"/>
    <w:rsid w:val="00FF4E15"/>
    <w:rsid w:val="00FF589A"/>
    <w:rsid w:val="00FF5A20"/>
    <w:rsid w:val="00FF5CF1"/>
    <w:rsid w:val="00FF6564"/>
    <w:rsid w:val="00FF66EF"/>
    <w:rsid w:val="00FF6F28"/>
    <w:rsid w:val="00FF71EC"/>
    <w:rsid w:val="00FF7402"/>
    <w:rsid w:val="00FF77A1"/>
    <w:rsid w:val="00FF7FD8"/>
    <w:rsid w:val="029DB49B"/>
    <w:rsid w:val="03DF03C8"/>
    <w:rsid w:val="043464E3"/>
    <w:rsid w:val="045A5E83"/>
    <w:rsid w:val="0516BA1D"/>
    <w:rsid w:val="0592A497"/>
    <w:rsid w:val="06A558A4"/>
    <w:rsid w:val="06B6C64C"/>
    <w:rsid w:val="06E4F574"/>
    <w:rsid w:val="071F14A4"/>
    <w:rsid w:val="074BB34F"/>
    <w:rsid w:val="07C53660"/>
    <w:rsid w:val="0A5E1800"/>
    <w:rsid w:val="0A6D1558"/>
    <w:rsid w:val="0BA6B255"/>
    <w:rsid w:val="0C9AA456"/>
    <w:rsid w:val="0D7E23FC"/>
    <w:rsid w:val="0E9F3660"/>
    <w:rsid w:val="0EA9CE66"/>
    <w:rsid w:val="0F0F4CA8"/>
    <w:rsid w:val="0FC54CFC"/>
    <w:rsid w:val="101EC051"/>
    <w:rsid w:val="10852008"/>
    <w:rsid w:val="10912982"/>
    <w:rsid w:val="111BB72F"/>
    <w:rsid w:val="117599C3"/>
    <w:rsid w:val="120F44B0"/>
    <w:rsid w:val="127D071E"/>
    <w:rsid w:val="1295C2C0"/>
    <w:rsid w:val="1378F9C9"/>
    <w:rsid w:val="14549596"/>
    <w:rsid w:val="148BFA29"/>
    <w:rsid w:val="14EADEFB"/>
    <w:rsid w:val="1574A868"/>
    <w:rsid w:val="160BF578"/>
    <w:rsid w:val="169C1B17"/>
    <w:rsid w:val="170B609B"/>
    <w:rsid w:val="1825772A"/>
    <w:rsid w:val="183CAFA2"/>
    <w:rsid w:val="18465DCA"/>
    <w:rsid w:val="18C1A99E"/>
    <w:rsid w:val="19263C34"/>
    <w:rsid w:val="195F6B4C"/>
    <w:rsid w:val="1AC75AC0"/>
    <w:rsid w:val="1BDFFD33"/>
    <w:rsid w:val="1C3406A2"/>
    <w:rsid w:val="1C699D6E"/>
    <w:rsid w:val="1DFACA39"/>
    <w:rsid w:val="1F4B29F4"/>
    <w:rsid w:val="1F5A43BD"/>
    <w:rsid w:val="1FD0BBC1"/>
    <w:rsid w:val="1FDD2EF2"/>
    <w:rsid w:val="2053FAFE"/>
    <w:rsid w:val="2062C35B"/>
    <w:rsid w:val="207D89E7"/>
    <w:rsid w:val="20850425"/>
    <w:rsid w:val="20E68ED5"/>
    <w:rsid w:val="2106911E"/>
    <w:rsid w:val="21136556"/>
    <w:rsid w:val="2170D185"/>
    <w:rsid w:val="21B76846"/>
    <w:rsid w:val="221D334F"/>
    <w:rsid w:val="2300FF72"/>
    <w:rsid w:val="25125E0A"/>
    <w:rsid w:val="25BD91B2"/>
    <w:rsid w:val="265E283D"/>
    <w:rsid w:val="26AE69CE"/>
    <w:rsid w:val="26B2ABA5"/>
    <w:rsid w:val="2925E9D6"/>
    <w:rsid w:val="2947DC96"/>
    <w:rsid w:val="29DF350A"/>
    <w:rsid w:val="29FEDD64"/>
    <w:rsid w:val="2A0DEC74"/>
    <w:rsid w:val="2A6D9619"/>
    <w:rsid w:val="2BAE6A3F"/>
    <w:rsid w:val="2BC68A4A"/>
    <w:rsid w:val="2BD79E83"/>
    <w:rsid w:val="2CD6A185"/>
    <w:rsid w:val="2DCE7967"/>
    <w:rsid w:val="2E099193"/>
    <w:rsid w:val="2E63F3BE"/>
    <w:rsid w:val="2F419C3E"/>
    <w:rsid w:val="3049417D"/>
    <w:rsid w:val="30829D07"/>
    <w:rsid w:val="30AF011D"/>
    <w:rsid w:val="31EEF490"/>
    <w:rsid w:val="332A9485"/>
    <w:rsid w:val="33445F6B"/>
    <w:rsid w:val="34174CA2"/>
    <w:rsid w:val="348B3CDE"/>
    <w:rsid w:val="350D2858"/>
    <w:rsid w:val="361BFB07"/>
    <w:rsid w:val="3659E34A"/>
    <w:rsid w:val="367A9263"/>
    <w:rsid w:val="37556214"/>
    <w:rsid w:val="376F86D1"/>
    <w:rsid w:val="383F2E71"/>
    <w:rsid w:val="39834FA0"/>
    <w:rsid w:val="3B212AED"/>
    <w:rsid w:val="3BA15DDB"/>
    <w:rsid w:val="3C39276C"/>
    <w:rsid w:val="3C625734"/>
    <w:rsid w:val="3DE37983"/>
    <w:rsid w:val="3E36EBDE"/>
    <w:rsid w:val="3F0EFAE2"/>
    <w:rsid w:val="400D9437"/>
    <w:rsid w:val="406E5BA9"/>
    <w:rsid w:val="41129201"/>
    <w:rsid w:val="41174FC4"/>
    <w:rsid w:val="4292FE97"/>
    <w:rsid w:val="42ADFBEF"/>
    <w:rsid w:val="42BBF703"/>
    <w:rsid w:val="43B71421"/>
    <w:rsid w:val="4414E314"/>
    <w:rsid w:val="4459D487"/>
    <w:rsid w:val="445E6F4C"/>
    <w:rsid w:val="450EB2C4"/>
    <w:rsid w:val="454C5424"/>
    <w:rsid w:val="45ADC1D3"/>
    <w:rsid w:val="47879501"/>
    <w:rsid w:val="48A9B242"/>
    <w:rsid w:val="48F69AB1"/>
    <w:rsid w:val="494528E0"/>
    <w:rsid w:val="4A00DBEA"/>
    <w:rsid w:val="4A4D4152"/>
    <w:rsid w:val="4AC9940A"/>
    <w:rsid w:val="4AE0FA69"/>
    <w:rsid w:val="4B6B51DE"/>
    <w:rsid w:val="4CF21964"/>
    <w:rsid w:val="4EB3402F"/>
    <w:rsid w:val="4EEB0315"/>
    <w:rsid w:val="502896C9"/>
    <w:rsid w:val="52145962"/>
    <w:rsid w:val="523E4744"/>
    <w:rsid w:val="527D1031"/>
    <w:rsid w:val="52C0E413"/>
    <w:rsid w:val="536B0003"/>
    <w:rsid w:val="53B42AEC"/>
    <w:rsid w:val="541218AF"/>
    <w:rsid w:val="54CA5E73"/>
    <w:rsid w:val="55F29088"/>
    <w:rsid w:val="57998507"/>
    <w:rsid w:val="582920DA"/>
    <w:rsid w:val="58A5CEF5"/>
    <w:rsid w:val="59078017"/>
    <w:rsid w:val="5929E1EC"/>
    <w:rsid w:val="5A3B0533"/>
    <w:rsid w:val="5A53D64C"/>
    <w:rsid w:val="5AD983D7"/>
    <w:rsid w:val="5C6ED5DE"/>
    <w:rsid w:val="5CB766EB"/>
    <w:rsid w:val="5CBE4039"/>
    <w:rsid w:val="5CC46757"/>
    <w:rsid w:val="5CFC2350"/>
    <w:rsid w:val="5D976F58"/>
    <w:rsid w:val="5E3AACD1"/>
    <w:rsid w:val="5E9AAAE5"/>
    <w:rsid w:val="5ED0BDCD"/>
    <w:rsid w:val="5F3795D7"/>
    <w:rsid w:val="5F3FF2B5"/>
    <w:rsid w:val="5F481B31"/>
    <w:rsid w:val="5FD67D32"/>
    <w:rsid w:val="61A796D8"/>
    <w:rsid w:val="61ADAE35"/>
    <w:rsid w:val="62D3E670"/>
    <w:rsid w:val="62DE8792"/>
    <w:rsid w:val="63802F0B"/>
    <w:rsid w:val="63A978DE"/>
    <w:rsid w:val="63CC9465"/>
    <w:rsid w:val="63E3A411"/>
    <w:rsid w:val="64987C90"/>
    <w:rsid w:val="6621D892"/>
    <w:rsid w:val="669FE5A8"/>
    <w:rsid w:val="66A10A0C"/>
    <w:rsid w:val="670324E4"/>
    <w:rsid w:val="67B46036"/>
    <w:rsid w:val="681DB266"/>
    <w:rsid w:val="6A58A6CF"/>
    <w:rsid w:val="6B02A2C5"/>
    <w:rsid w:val="6B900934"/>
    <w:rsid w:val="6BF1E93C"/>
    <w:rsid w:val="6C64B42C"/>
    <w:rsid w:val="6C7A9CF3"/>
    <w:rsid w:val="6CCAE3E1"/>
    <w:rsid w:val="6D5C319C"/>
    <w:rsid w:val="6E93054A"/>
    <w:rsid w:val="6F44938E"/>
    <w:rsid w:val="6F544B41"/>
    <w:rsid w:val="7001FC1B"/>
    <w:rsid w:val="70824F96"/>
    <w:rsid w:val="71365EC7"/>
    <w:rsid w:val="71EB9F86"/>
    <w:rsid w:val="72C8AB02"/>
    <w:rsid w:val="732A32C8"/>
    <w:rsid w:val="73B7160D"/>
    <w:rsid w:val="73FEDC54"/>
    <w:rsid w:val="74335D9D"/>
    <w:rsid w:val="759AACB5"/>
    <w:rsid w:val="7686A05C"/>
    <w:rsid w:val="7695590D"/>
    <w:rsid w:val="77A70111"/>
    <w:rsid w:val="78BC48AA"/>
    <w:rsid w:val="790DAE19"/>
    <w:rsid w:val="793663A5"/>
    <w:rsid w:val="7958E06C"/>
    <w:rsid w:val="797E16EF"/>
    <w:rsid w:val="7A5CAC13"/>
    <w:rsid w:val="7AE0F1DB"/>
    <w:rsid w:val="7C454EDB"/>
    <w:rsid w:val="7D22A6E2"/>
    <w:rsid w:val="7E12E896"/>
    <w:rsid w:val="7E1FF8DF"/>
    <w:rsid w:val="7E3F883F"/>
    <w:rsid w:val="7E78654E"/>
    <w:rsid w:val="7EC7CAA5"/>
    <w:rsid w:val="7F46EC30"/>
    <w:rsid w:val="7F8D8270"/>
    <w:rsid w:val="7FA136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4DEF71E6"/>
  <w15:docId w15:val="{F486D7F1-383F-46A0-BEB6-AAF6CF3909A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80AB4"/>
    <w:pPr>
      <w:spacing w:after="160" w:line="276" w:lineRule="auto"/>
    </w:pPr>
    <w:rPr>
      <w:rFonts w:asciiTheme="minorHAnsi" w:hAnsiTheme="minorHAnsi"/>
    </w:rPr>
  </w:style>
  <w:style w:type="paragraph" w:styleId="Heading1">
    <w:name w:val="heading 1"/>
    <w:basedOn w:val="Normal"/>
    <w:next w:val="Normal"/>
    <w:link w:val="Heading1Char"/>
    <w:uiPriority w:val="9"/>
    <w:qFormat/>
    <w:rsid w:val="009E1BE7"/>
    <w:pPr>
      <w:keepNext/>
      <w:keepLines/>
      <w:numPr>
        <w:numId w:val="4"/>
      </w:numPr>
      <w:snapToGrid w:val="0"/>
      <w:spacing w:before="240" w:after="120" w:line="259" w:lineRule="auto"/>
      <w:outlineLvl w:val="0"/>
    </w:pPr>
    <w:rPr>
      <w:rFonts w:asciiTheme="majorHAnsi" w:hAnsiTheme="majorHAnsi" w:eastAsiaTheme="majorEastAsia" w:cstheme="majorBidi"/>
      <w:color w:val="2C586A" w:themeColor="accent1" w:themeShade="BF"/>
      <w:sz w:val="32"/>
      <w:szCs w:val="32"/>
    </w:rPr>
  </w:style>
  <w:style w:type="paragraph" w:styleId="Heading2">
    <w:name w:val="heading 2"/>
    <w:basedOn w:val="Normal"/>
    <w:next w:val="Normal"/>
    <w:link w:val="Heading2Char"/>
    <w:uiPriority w:val="9"/>
    <w:unhideWhenUsed/>
    <w:qFormat/>
    <w:rsid w:val="007000FF"/>
    <w:pPr>
      <w:keepNext/>
      <w:keepLines/>
      <w:spacing w:before="360" w:after="120" w:line="240" w:lineRule="auto"/>
      <w:outlineLvl w:val="1"/>
    </w:pPr>
    <w:rPr>
      <w:rFonts w:ascii="Montserrat SemiBold" w:hAnsi="Montserrat SemiBold"/>
      <w:bCs/>
      <w:caps/>
      <w:spacing w:val="20"/>
      <w:sz w:val="22"/>
      <w:szCs w:val="28"/>
    </w:rPr>
  </w:style>
  <w:style w:type="paragraph" w:styleId="Heading3">
    <w:name w:val="heading 3"/>
    <w:basedOn w:val="Normal"/>
    <w:next w:val="Normal"/>
    <w:link w:val="Heading3Char"/>
    <w:uiPriority w:val="9"/>
    <w:unhideWhenUsed/>
    <w:qFormat/>
    <w:rsid w:val="00FA016B"/>
    <w:pPr>
      <w:keepNext/>
      <w:keepLines/>
      <w:spacing w:before="360" w:after="120" w:line="240" w:lineRule="auto"/>
      <w:outlineLvl w:val="2"/>
    </w:pPr>
    <w:rPr>
      <w:rFonts w:ascii="Montserrat Medium" w:hAnsi="Montserrat Medium" w:eastAsia="Open Sans"/>
      <w:sz w:val="22"/>
      <w:szCs w:val="24"/>
    </w:rPr>
  </w:style>
  <w:style w:type="paragraph" w:styleId="Heading4">
    <w:name w:val="heading 4"/>
    <w:basedOn w:val="Normal"/>
    <w:next w:val="Normal"/>
    <w:link w:val="Heading4Char"/>
    <w:uiPriority w:val="9"/>
    <w:semiHidden/>
    <w:unhideWhenUsed/>
    <w:qFormat/>
    <w:rsid w:val="00F72CE8"/>
    <w:pPr>
      <w:keepNext/>
      <w:keepLines/>
      <w:spacing w:before="40" w:after="0"/>
      <w:outlineLvl w:val="3"/>
    </w:pPr>
    <w:rPr>
      <w:rFonts w:asciiTheme="majorHAnsi" w:hAnsiTheme="majorHAnsi" w:eastAsiaTheme="majorEastAsia" w:cstheme="majorBidi"/>
      <w:i/>
      <w:iCs/>
      <w:color w:val="2C586A" w:themeColor="accent1" w:themeShade="BF"/>
    </w:rPr>
  </w:style>
  <w:style w:type="paragraph" w:styleId="Heading5">
    <w:name w:val="heading 5"/>
    <w:basedOn w:val="Normal"/>
    <w:next w:val="Normal"/>
    <w:link w:val="Heading5Char"/>
    <w:uiPriority w:val="9"/>
    <w:semiHidden/>
    <w:unhideWhenUsed/>
    <w:qFormat/>
    <w:rsid w:val="00F72CE8"/>
    <w:pPr>
      <w:keepNext/>
      <w:keepLines/>
      <w:spacing w:before="40" w:after="0"/>
      <w:outlineLvl w:val="4"/>
    </w:pPr>
    <w:rPr>
      <w:rFonts w:asciiTheme="majorHAnsi" w:hAnsiTheme="majorHAnsi" w:eastAsiaTheme="majorEastAsia" w:cstheme="majorBidi"/>
      <w:color w:val="2C586A" w:themeColor="accent1" w:themeShade="BF"/>
    </w:rPr>
  </w:style>
  <w:style w:type="paragraph" w:styleId="Heading6">
    <w:name w:val="heading 6"/>
    <w:basedOn w:val="Normal"/>
    <w:next w:val="Normal"/>
    <w:link w:val="Heading6Char"/>
    <w:uiPriority w:val="9"/>
    <w:semiHidden/>
    <w:unhideWhenUsed/>
    <w:qFormat/>
    <w:rsid w:val="00F72CE8"/>
    <w:pPr>
      <w:keepNext/>
      <w:keepLines/>
      <w:spacing w:before="40" w:after="0"/>
      <w:outlineLvl w:val="5"/>
    </w:pPr>
    <w:rPr>
      <w:rFonts w:asciiTheme="majorHAnsi" w:hAnsiTheme="majorHAnsi" w:eastAsiaTheme="majorEastAsia" w:cstheme="majorBidi"/>
      <w:color w:val="1D3B46"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Deliverables" w:customStyle="1">
    <w:name w:val="Deliverables"/>
    <w:basedOn w:val="DefaultParagraphFont"/>
    <w:uiPriority w:val="1"/>
    <w:qFormat/>
    <w:rsid w:val="009C6E95"/>
    <w:rPr>
      <w:rFonts w:ascii="Montserrat SemiBold" w:hAnsi="Montserrat SemiBold"/>
      <w:caps/>
      <w:spacing w:val="20"/>
    </w:rPr>
  </w:style>
  <w:style w:type="character" w:styleId="Emphasis">
    <w:name w:val="Emphasis"/>
    <w:basedOn w:val="DefaultParagraphFont"/>
    <w:uiPriority w:val="20"/>
    <w:qFormat/>
    <w:rsid w:val="00144F69"/>
    <w:rPr>
      <w:rFonts w:ascii="Lora" w:hAnsi="Lora"/>
      <w:i/>
      <w:iCs/>
    </w:rPr>
  </w:style>
  <w:style w:type="paragraph" w:styleId="BalloonText">
    <w:name w:val="Balloon Text"/>
    <w:basedOn w:val="Normal"/>
    <w:link w:val="BalloonTextChar"/>
    <w:uiPriority w:val="99"/>
    <w:semiHidden/>
    <w:unhideWhenUsed/>
    <w:rsid w:val="000C745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C7456"/>
    <w:rPr>
      <w:rFonts w:ascii="Segoe UI" w:hAnsi="Segoe UI" w:cs="Segoe UI"/>
      <w:sz w:val="18"/>
      <w:szCs w:val="18"/>
    </w:rPr>
  </w:style>
  <w:style w:type="character" w:styleId="Hyperlink">
    <w:name w:val="Hyperlink"/>
    <w:basedOn w:val="DefaultParagraphFont"/>
    <w:uiPriority w:val="99"/>
    <w:unhideWhenUsed/>
    <w:rsid w:val="00DF1AD4"/>
    <w:rPr>
      <w:color w:val="4C5C68" w:themeColor="hyperlink"/>
      <w:u w:val="single"/>
    </w:rPr>
  </w:style>
  <w:style w:type="character" w:styleId="UnresolvedMention">
    <w:name w:val="Unresolved Mention"/>
    <w:basedOn w:val="DefaultParagraphFont"/>
    <w:uiPriority w:val="99"/>
    <w:semiHidden/>
    <w:unhideWhenUsed/>
    <w:rsid w:val="00DF1AD4"/>
    <w:rPr>
      <w:color w:val="808080"/>
      <w:shd w:val="clear" w:color="auto" w:fill="E6E6E6"/>
    </w:rPr>
  </w:style>
  <w:style w:type="paragraph" w:styleId="NoSpacing">
    <w:name w:val="No Spacing"/>
    <w:uiPriority w:val="1"/>
    <w:qFormat/>
    <w:rsid w:val="002A7FC3"/>
    <w:rPr>
      <w:rFonts w:asciiTheme="minorHAnsi" w:hAnsiTheme="minorHAnsi"/>
    </w:rPr>
  </w:style>
  <w:style w:type="paragraph" w:styleId="ListParagraph">
    <w:name w:val="List Paragraph"/>
    <w:basedOn w:val="Normal"/>
    <w:link w:val="ListParagraphChar"/>
    <w:uiPriority w:val="34"/>
    <w:qFormat/>
    <w:rsid w:val="00AC33A2"/>
    <w:pPr>
      <w:numPr>
        <w:numId w:val="1"/>
      </w:numPr>
      <w:spacing w:after="80"/>
    </w:pPr>
  </w:style>
  <w:style w:type="paragraph" w:styleId="PlainText">
    <w:name w:val="Plain Text"/>
    <w:basedOn w:val="Normal"/>
    <w:link w:val="PlainTextChar"/>
    <w:uiPriority w:val="99"/>
    <w:semiHidden/>
    <w:unhideWhenUsed/>
    <w:rsid w:val="00067E54"/>
    <w:rPr>
      <w:rFonts w:ascii="Calibri" w:hAnsi="Calibri" w:eastAsiaTheme="minorHAnsi" w:cstheme="minorBidi"/>
      <w:sz w:val="22"/>
      <w:szCs w:val="21"/>
    </w:rPr>
  </w:style>
  <w:style w:type="character" w:styleId="PlainTextChar" w:customStyle="1">
    <w:name w:val="Plain Text Char"/>
    <w:basedOn w:val="DefaultParagraphFont"/>
    <w:link w:val="PlainText"/>
    <w:uiPriority w:val="99"/>
    <w:semiHidden/>
    <w:rsid w:val="00067E54"/>
    <w:rPr>
      <w:rFonts w:ascii="Calibri" w:hAnsi="Calibri" w:eastAsiaTheme="minorHAnsi" w:cstheme="minorBidi"/>
      <w:sz w:val="22"/>
      <w:szCs w:val="21"/>
    </w:rPr>
  </w:style>
  <w:style w:type="character" w:styleId="FollowedHyperlink">
    <w:name w:val="FollowedHyperlink"/>
    <w:basedOn w:val="DefaultParagraphFont"/>
    <w:uiPriority w:val="99"/>
    <w:semiHidden/>
    <w:unhideWhenUsed/>
    <w:rsid w:val="00C3614A"/>
    <w:rPr>
      <w:color w:val="3EBBF0" w:themeColor="followedHyperlink"/>
      <w:u w:val="single"/>
    </w:rPr>
  </w:style>
  <w:style w:type="character" w:styleId="CommentReference">
    <w:name w:val="annotation reference"/>
    <w:basedOn w:val="DefaultParagraphFont"/>
    <w:uiPriority w:val="99"/>
    <w:semiHidden/>
    <w:unhideWhenUsed/>
    <w:rsid w:val="00C3614A"/>
    <w:rPr>
      <w:sz w:val="16"/>
      <w:szCs w:val="16"/>
    </w:rPr>
  </w:style>
  <w:style w:type="paragraph" w:styleId="CommentText">
    <w:name w:val="annotation text"/>
    <w:basedOn w:val="Normal"/>
    <w:link w:val="CommentTextChar"/>
    <w:uiPriority w:val="99"/>
    <w:unhideWhenUsed/>
    <w:rsid w:val="00C3614A"/>
  </w:style>
  <w:style w:type="character" w:styleId="CommentTextChar" w:customStyle="1">
    <w:name w:val="Comment Text Char"/>
    <w:basedOn w:val="DefaultParagraphFont"/>
    <w:link w:val="CommentText"/>
    <w:uiPriority w:val="99"/>
    <w:rsid w:val="00C3614A"/>
    <w:rPr>
      <w:rFonts w:ascii="Georgia" w:hAnsi="Georgia"/>
    </w:rPr>
  </w:style>
  <w:style w:type="paragraph" w:styleId="CommentSubject">
    <w:name w:val="annotation subject"/>
    <w:basedOn w:val="CommentText"/>
    <w:next w:val="CommentText"/>
    <w:link w:val="CommentSubjectChar"/>
    <w:uiPriority w:val="99"/>
    <w:semiHidden/>
    <w:unhideWhenUsed/>
    <w:rsid w:val="00C3614A"/>
    <w:rPr>
      <w:b/>
      <w:bCs/>
    </w:rPr>
  </w:style>
  <w:style w:type="character" w:styleId="CommentSubjectChar" w:customStyle="1">
    <w:name w:val="Comment Subject Char"/>
    <w:basedOn w:val="CommentTextChar"/>
    <w:link w:val="CommentSubject"/>
    <w:uiPriority w:val="99"/>
    <w:semiHidden/>
    <w:rsid w:val="00C3614A"/>
    <w:rPr>
      <w:rFonts w:ascii="Georgia" w:hAnsi="Georgia"/>
      <w:b/>
      <w:bCs/>
    </w:rPr>
  </w:style>
  <w:style w:type="paragraph" w:styleId="Header">
    <w:name w:val="header"/>
    <w:basedOn w:val="Normal"/>
    <w:link w:val="HeaderChar"/>
    <w:uiPriority w:val="99"/>
    <w:unhideWhenUsed/>
    <w:rsid w:val="007B2DE2"/>
    <w:pPr>
      <w:tabs>
        <w:tab w:val="center" w:pos="4680"/>
        <w:tab w:val="right" w:pos="9360"/>
      </w:tabs>
    </w:pPr>
  </w:style>
  <w:style w:type="character" w:styleId="HeaderChar" w:customStyle="1">
    <w:name w:val="Header Char"/>
    <w:basedOn w:val="DefaultParagraphFont"/>
    <w:link w:val="Header"/>
    <w:uiPriority w:val="99"/>
    <w:rsid w:val="007B2DE2"/>
    <w:rPr>
      <w:rFonts w:ascii="Georgia" w:hAnsi="Georgia"/>
      <w:sz w:val="24"/>
    </w:rPr>
  </w:style>
  <w:style w:type="paragraph" w:styleId="Footer">
    <w:name w:val="footer"/>
    <w:basedOn w:val="Normal"/>
    <w:link w:val="FooterChar"/>
    <w:uiPriority w:val="99"/>
    <w:unhideWhenUsed/>
    <w:rsid w:val="0095005C"/>
    <w:pPr>
      <w:tabs>
        <w:tab w:val="right" w:pos="10080"/>
      </w:tabs>
    </w:pPr>
    <w:rPr>
      <w:rFonts w:eastAsia="Open Sans Light" w:cstheme="minorHAnsi"/>
      <w:spacing w:val="4"/>
      <w:sz w:val="16"/>
      <w:szCs w:val="16"/>
    </w:rPr>
  </w:style>
  <w:style w:type="character" w:styleId="FooterChar" w:customStyle="1">
    <w:name w:val="Footer Char"/>
    <w:basedOn w:val="DefaultParagraphFont"/>
    <w:link w:val="Footer"/>
    <w:uiPriority w:val="99"/>
    <w:rsid w:val="0095005C"/>
    <w:rPr>
      <w:rFonts w:eastAsia="Open Sans Light" w:asciiTheme="minorHAnsi" w:hAnsiTheme="minorHAnsi" w:cstheme="minorHAnsi"/>
      <w:spacing w:val="4"/>
      <w:sz w:val="16"/>
      <w:szCs w:val="16"/>
    </w:rPr>
  </w:style>
  <w:style w:type="character" w:styleId="Heading1Char" w:customStyle="1">
    <w:name w:val="Heading 1 Char"/>
    <w:basedOn w:val="DefaultParagraphFont"/>
    <w:link w:val="Heading1"/>
    <w:uiPriority w:val="9"/>
    <w:rsid w:val="009E1BE7"/>
    <w:rPr>
      <w:rFonts w:asciiTheme="majorHAnsi" w:hAnsiTheme="majorHAnsi" w:eastAsiaTheme="majorEastAsia" w:cstheme="majorBidi"/>
      <w:color w:val="2C586A" w:themeColor="accent1" w:themeShade="BF"/>
      <w:sz w:val="32"/>
      <w:szCs w:val="32"/>
    </w:rPr>
  </w:style>
  <w:style w:type="character" w:styleId="Heading3Char" w:customStyle="1">
    <w:name w:val="Heading 3 Char"/>
    <w:basedOn w:val="DefaultParagraphFont"/>
    <w:link w:val="Heading3"/>
    <w:uiPriority w:val="9"/>
    <w:rsid w:val="00FA016B"/>
    <w:rPr>
      <w:rFonts w:ascii="Montserrat Medium" w:hAnsi="Montserrat Medium" w:eastAsia="Open Sans"/>
      <w:sz w:val="22"/>
      <w:szCs w:val="24"/>
    </w:rPr>
  </w:style>
  <w:style w:type="paragraph" w:styleId="Subtitle">
    <w:name w:val="Subtitle"/>
    <w:basedOn w:val="Normal"/>
    <w:next w:val="Normal"/>
    <w:link w:val="SubtitleChar"/>
    <w:uiPriority w:val="11"/>
    <w:qFormat/>
    <w:rsid w:val="00FA016B"/>
    <w:pPr>
      <w:tabs>
        <w:tab w:val="left" w:pos="1440"/>
      </w:tabs>
      <w:spacing w:before="360" w:after="120" w:line="240" w:lineRule="auto"/>
    </w:pPr>
    <w:rPr>
      <w:rFonts w:ascii="Montserrat SemiBold" w:hAnsi="Montserrat SemiBold"/>
      <w:sz w:val="32"/>
      <w:szCs w:val="28"/>
    </w:rPr>
  </w:style>
  <w:style w:type="character" w:styleId="SubtitleChar" w:customStyle="1">
    <w:name w:val="Subtitle Char"/>
    <w:basedOn w:val="DefaultParagraphFont"/>
    <w:link w:val="Subtitle"/>
    <w:uiPriority w:val="11"/>
    <w:rsid w:val="00FA016B"/>
    <w:rPr>
      <w:rFonts w:ascii="Montserrat SemiBold" w:hAnsi="Montserrat SemiBold"/>
      <w:sz w:val="32"/>
      <w:szCs w:val="28"/>
    </w:rPr>
  </w:style>
  <w:style w:type="paragraph" w:styleId="Title">
    <w:name w:val="Title"/>
    <w:basedOn w:val="NoSpacing"/>
    <w:next w:val="Normal"/>
    <w:link w:val="TitleChar"/>
    <w:uiPriority w:val="10"/>
    <w:qFormat/>
    <w:rsid w:val="00FA016B"/>
    <w:pPr>
      <w:spacing w:line="276" w:lineRule="auto"/>
    </w:pPr>
    <w:rPr>
      <w:rFonts w:asciiTheme="majorHAnsi" w:hAnsiTheme="majorHAnsi"/>
      <w:b/>
      <w:bCs/>
      <w:spacing w:val="20"/>
      <w:sz w:val="24"/>
      <w:szCs w:val="24"/>
    </w:rPr>
  </w:style>
  <w:style w:type="character" w:styleId="TitleChar" w:customStyle="1">
    <w:name w:val="Title Char"/>
    <w:basedOn w:val="DefaultParagraphFont"/>
    <w:link w:val="Title"/>
    <w:uiPriority w:val="10"/>
    <w:rsid w:val="00FA016B"/>
    <w:rPr>
      <w:rFonts w:asciiTheme="majorHAnsi" w:hAnsiTheme="majorHAnsi"/>
      <w:b/>
      <w:bCs/>
      <w:spacing w:val="20"/>
      <w:sz w:val="24"/>
      <w:szCs w:val="24"/>
    </w:rPr>
  </w:style>
  <w:style w:type="character" w:styleId="SubtleEmphasis">
    <w:name w:val="Subtle Emphasis"/>
    <w:basedOn w:val="DefaultParagraphFont"/>
    <w:uiPriority w:val="19"/>
    <w:qFormat/>
    <w:rsid w:val="00144F69"/>
    <w:rPr>
      <w:i/>
      <w:iCs/>
      <w:color w:val="404040" w:themeColor="text1" w:themeTint="BF"/>
    </w:rPr>
  </w:style>
  <w:style w:type="character" w:styleId="ListParagraphChar" w:customStyle="1">
    <w:name w:val="List Paragraph Char"/>
    <w:basedOn w:val="DefaultParagraphFont"/>
    <w:link w:val="ListParagraph"/>
    <w:uiPriority w:val="34"/>
    <w:locked/>
    <w:rsid w:val="00AC33A2"/>
    <w:rPr>
      <w:rFonts w:asciiTheme="minorHAnsi" w:hAnsiTheme="minorHAnsi"/>
    </w:rPr>
  </w:style>
  <w:style w:type="character" w:styleId="Heading2Char" w:customStyle="1">
    <w:name w:val="Heading 2 Char"/>
    <w:basedOn w:val="DefaultParagraphFont"/>
    <w:link w:val="Heading2"/>
    <w:uiPriority w:val="9"/>
    <w:rsid w:val="007000FF"/>
    <w:rPr>
      <w:rFonts w:ascii="Montserrat SemiBold" w:hAnsi="Montserrat SemiBold"/>
      <w:bCs/>
      <w:caps/>
      <w:spacing w:val="20"/>
      <w:sz w:val="22"/>
      <w:szCs w:val="28"/>
    </w:rPr>
  </w:style>
  <w:style w:type="character" w:styleId="Heading4Char" w:customStyle="1">
    <w:name w:val="Heading 4 Char"/>
    <w:basedOn w:val="DefaultParagraphFont"/>
    <w:link w:val="Heading4"/>
    <w:uiPriority w:val="9"/>
    <w:semiHidden/>
    <w:rsid w:val="00F72CE8"/>
    <w:rPr>
      <w:rFonts w:asciiTheme="majorHAnsi" w:hAnsiTheme="majorHAnsi" w:eastAsiaTheme="majorEastAsia" w:cstheme="majorBidi"/>
      <w:i/>
      <w:iCs/>
      <w:color w:val="2C586A" w:themeColor="accent1" w:themeShade="BF"/>
    </w:rPr>
  </w:style>
  <w:style w:type="character" w:styleId="Heading5Char" w:customStyle="1">
    <w:name w:val="Heading 5 Char"/>
    <w:basedOn w:val="DefaultParagraphFont"/>
    <w:link w:val="Heading5"/>
    <w:uiPriority w:val="9"/>
    <w:semiHidden/>
    <w:rsid w:val="00F72CE8"/>
    <w:rPr>
      <w:rFonts w:asciiTheme="majorHAnsi" w:hAnsiTheme="majorHAnsi" w:eastAsiaTheme="majorEastAsia" w:cstheme="majorBidi"/>
      <w:color w:val="2C586A" w:themeColor="accent1" w:themeShade="BF"/>
    </w:rPr>
  </w:style>
  <w:style w:type="character" w:styleId="Heading6Char" w:customStyle="1">
    <w:name w:val="Heading 6 Char"/>
    <w:basedOn w:val="DefaultParagraphFont"/>
    <w:link w:val="Heading6"/>
    <w:uiPriority w:val="9"/>
    <w:semiHidden/>
    <w:rsid w:val="00F72CE8"/>
    <w:rPr>
      <w:rFonts w:asciiTheme="majorHAnsi" w:hAnsiTheme="majorHAnsi" w:eastAsiaTheme="majorEastAsia" w:cstheme="majorBidi"/>
      <w:color w:val="1D3B46" w:themeColor="accent1" w:themeShade="7F"/>
    </w:rPr>
  </w:style>
  <w:style w:type="character" w:styleId="IntenseEmphasis">
    <w:name w:val="Intense Emphasis"/>
    <w:basedOn w:val="DefaultParagraphFont"/>
    <w:uiPriority w:val="21"/>
    <w:qFormat/>
    <w:rsid w:val="00144F69"/>
    <w:rPr>
      <w:i/>
      <w:iCs/>
      <w:color w:val="3B778E" w:themeColor="accent1"/>
    </w:rPr>
  </w:style>
  <w:style w:type="table" w:styleId="TableGrid">
    <w:name w:val="Table Grid"/>
    <w:basedOn w:val="TableNormal"/>
    <w:uiPriority w:val="39"/>
    <w:rsid w:val="00520CE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9C6E95"/>
    <w:pPr>
      <w:outlineLvl w:val="9"/>
    </w:pPr>
  </w:style>
  <w:style w:type="paragraph" w:styleId="TOC1">
    <w:name w:val="toc 1"/>
    <w:basedOn w:val="Normal"/>
    <w:next w:val="Normal"/>
    <w:autoRedefine/>
    <w:uiPriority w:val="39"/>
    <w:unhideWhenUsed/>
    <w:rsid w:val="003F220A"/>
    <w:pPr>
      <w:spacing w:after="100"/>
    </w:pPr>
    <w:rPr>
      <w:b/>
      <w:bCs/>
    </w:rPr>
  </w:style>
  <w:style w:type="paragraph" w:styleId="TOC2">
    <w:name w:val="toc 2"/>
    <w:basedOn w:val="Normal"/>
    <w:next w:val="Normal"/>
    <w:autoRedefine/>
    <w:uiPriority w:val="39"/>
    <w:unhideWhenUsed/>
    <w:rsid w:val="005A1194"/>
    <w:pPr>
      <w:spacing w:after="100"/>
      <w:ind w:left="200"/>
    </w:pPr>
  </w:style>
  <w:style w:type="paragraph" w:styleId="TOC3">
    <w:name w:val="toc 3"/>
    <w:basedOn w:val="Normal"/>
    <w:next w:val="Normal"/>
    <w:autoRedefine/>
    <w:uiPriority w:val="39"/>
    <w:unhideWhenUsed/>
    <w:rsid w:val="00FC7F32"/>
    <w:pPr>
      <w:spacing w:after="100"/>
      <w:ind w:left="400"/>
    </w:pPr>
  </w:style>
  <w:style w:type="paragraph" w:styleId="FootnoteText">
    <w:name w:val="footnote text"/>
    <w:basedOn w:val="Normal"/>
    <w:link w:val="FootnoteTextChar"/>
    <w:uiPriority w:val="99"/>
    <w:semiHidden/>
    <w:unhideWhenUsed/>
    <w:rsid w:val="004E65D2"/>
    <w:pPr>
      <w:spacing w:after="0" w:line="240" w:lineRule="auto"/>
    </w:pPr>
  </w:style>
  <w:style w:type="character" w:styleId="FootnoteTextChar" w:customStyle="1">
    <w:name w:val="Footnote Text Char"/>
    <w:basedOn w:val="DefaultParagraphFont"/>
    <w:link w:val="FootnoteText"/>
    <w:uiPriority w:val="99"/>
    <w:semiHidden/>
    <w:rsid w:val="004E65D2"/>
    <w:rPr>
      <w:rFonts w:asciiTheme="minorHAnsi" w:hAnsiTheme="minorHAnsi"/>
    </w:rPr>
  </w:style>
  <w:style w:type="character" w:styleId="FootnoteReference">
    <w:name w:val="footnote reference"/>
    <w:basedOn w:val="DefaultParagraphFont"/>
    <w:uiPriority w:val="99"/>
    <w:semiHidden/>
    <w:unhideWhenUsed/>
    <w:rsid w:val="004E65D2"/>
    <w:rPr>
      <w:vertAlign w:val="superscript"/>
    </w:rPr>
  </w:style>
  <w:style w:type="paragraph" w:styleId="Revision">
    <w:name w:val="Revision"/>
    <w:hidden/>
    <w:uiPriority w:val="99"/>
    <w:semiHidden/>
    <w:rsid w:val="004E65D2"/>
    <w:rPr>
      <w:rFonts w:asciiTheme="minorHAnsi" w:hAnsiTheme="minorHAnsi"/>
    </w:rPr>
  </w:style>
  <w:style w:type="paragraph" w:styleId="Caption">
    <w:name w:val="caption"/>
    <w:basedOn w:val="Normal"/>
    <w:next w:val="Normal"/>
    <w:uiPriority w:val="35"/>
    <w:unhideWhenUsed/>
    <w:qFormat/>
    <w:rsid w:val="00E255C3"/>
    <w:pPr>
      <w:spacing w:after="200" w:line="240" w:lineRule="auto"/>
    </w:pPr>
    <w:rPr>
      <w:rFonts w:eastAsiaTheme="minorEastAsia" w:cstheme="minorBidi"/>
      <w:i/>
      <w:iCs/>
      <w:color w:val="193446" w:themeColor="text2"/>
      <w:sz w:val="18"/>
      <w:szCs w:val="18"/>
    </w:rPr>
  </w:style>
  <w:style w:type="paragraph" w:styleId="Default" w:customStyle="1">
    <w:name w:val="Default"/>
    <w:basedOn w:val="Normal"/>
    <w:rsid w:val="00E255C3"/>
  </w:style>
  <w:style w:type="character" w:styleId="normaltextrun" w:customStyle="1">
    <w:name w:val="normaltextrun"/>
    <w:basedOn w:val="DefaultParagraphFont"/>
    <w:rsid w:val="00E255C3"/>
  </w:style>
  <w:style w:type="table" w:styleId="GridTable1Light">
    <w:name w:val="Grid Table 1 Light"/>
    <w:basedOn w:val="TableNormal"/>
    <w:uiPriority w:val="46"/>
    <w:rsid w:val="00E255C3"/>
    <w:rPr>
      <w:rFonts w:asciiTheme="minorHAnsi" w:hAnsiTheme="minorHAnsi" w:eastAsiaTheme="minorHAnsi" w:cstheme="minorBidi"/>
      <w:sz w:val="22"/>
      <w:szCs w:val="22"/>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5Dark">
    <w:name w:val="Grid Table 5 Dark"/>
    <w:basedOn w:val="TableNormal"/>
    <w:uiPriority w:val="50"/>
    <w:rsid w:val="00341CA9"/>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341CA9"/>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7F7F7"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DADADA"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DADADA"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DADADA"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DADADA" w:themeFill="accent4"/>
      </w:tcPr>
    </w:tblStylePr>
    <w:tblStylePr w:type="band1Vert">
      <w:tblPr/>
      <w:tcPr>
        <w:shd w:val="clear" w:color="auto" w:fill="F0F0F0" w:themeFill="accent4" w:themeFillTint="66"/>
      </w:tcPr>
    </w:tblStylePr>
    <w:tblStylePr w:type="band1Horz">
      <w:tblPr/>
      <w:tcPr>
        <w:shd w:val="clear" w:color="auto" w:fill="F0F0F0" w:themeFill="accent4" w:themeFillTint="66"/>
      </w:tcPr>
    </w:tblStylePr>
  </w:style>
  <w:style w:type="table" w:styleId="GridTable4-Accent4">
    <w:name w:val="Grid Table 4 Accent 4"/>
    <w:basedOn w:val="TableNormal"/>
    <w:uiPriority w:val="49"/>
    <w:rsid w:val="00341CA9"/>
    <w:tblPr>
      <w:tblStyleRowBandSize w:val="1"/>
      <w:tblStyleColBandSize w:val="1"/>
      <w:tblBorders>
        <w:top w:val="single" w:color="E8E8E8" w:themeColor="accent4" w:themeTint="99" w:sz="4" w:space="0"/>
        <w:left w:val="single" w:color="E8E8E8" w:themeColor="accent4" w:themeTint="99" w:sz="4" w:space="0"/>
        <w:bottom w:val="single" w:color="E8E8E8" w:themeColor="accent4" w:themeTint="99" w:sz="4" w:space="0"/>
        <w:right w:val="single" w:color="E8E8E8" w:themeColor="accent4" w:themeTint="99" w:sz="4" w:space="0"/>
        <w:insideH w:val="single" w:color="E8E8E8" w:themeColor="accent4" w:themeTint="99" w:sz="4" w:space="0"/>
        <w:insideV w:val="single" w:color="E8E8E8" w:themeColor="accent4" w:themeTint="99" w:sz="4" w:space="0"/>
      </w:tblBorders>
    </w:tblPr>
    <w:tblStylePr w:type="firstRow">
      <w:rPr>
        <w:b/>
        <w:bCs/>
        <w:color w:val="FFFFFF" w:themeColor="background1"/>
      </w:rPr>
      <w:tblPr/>
      <w:tcPr>
        <w:tcBorders>
          <w:top w:val="single" w:color="DADADA" w:themeColor="accent4" w:sz="4" w:space="0"/>
          <w:left w:val="single" w:color="DADADA" w:themeColor="accent4" w:sz="4" w:space="0"/>
          <w:bottom w:val="single" w:color="DADADA" w:themeColor="accent4" w:sz="4" w:space="0"/>
          <w:right w:val="single" w:color="DADADA" w:themeColor="accent4" w:sz="4" w:space="0"/>
          <w:insideH w:val="nil"/>
          <w:insideV w:val="nil"/>
        </w:tcBorders>
        <w:shd w:val="clear" w:color="auto" w:fill="DADADA" w:themeFill="accent4"/>
      </w:tcPr>
    </w:tblStylePr>
    <w:tblStylePr w:type="lastRow">
      <w:rPr>
        <w:b/>
        <w:bCs/>
      </w:rPr>
      <w:tblPr/>
      <w:tcPr>
        <w:tcBorders>
          <w:top w:val="double" w:color="DADADA" w:themeColor="accent4" w:sz="4" w:space="0"/>
        </w:tcBorders>
      </w:tcPr>
    </w:tblStylePr>
    <w:tblStylePr w:type="firstCol">
      <w:rPr>
        <w:b/>
        <w:bCs/>
      </w:rPr>
    </w:tblStylePr>
    <w:tblStylePr w:type="lastCol">
      <w:rPr>
        <w:b/>
        <w:bCs/>
      </w:rPr>
    </w:tblStylePr>
    <w:tblStylePr w:type="band1Vert">
      <w:tblPr/>
      <w:tcPr>
        <w:shd w:val="clear" w:color="auto" w:fill="F7F7F7" w:themeFill="accent4" w:themeFillTint="33"/>
      </w:tcPr>
    </w:tblStylePr>
    <w:tblStylePr w:type="band1Horz">
      <w:tblPr/>
      <w:tcPr>
        <w:shd w:val="clear" w:color="auto" w:fill="F7F7F7" w:themeFill="accent4" w:themeFillTint="33"/>
      </w:tcPr>
    </w:tblStylePr>
  </w:style>
  <w:style w:type="table" w:styleId="GridTable3">
    <w:name w:val="Grid Table 3"/>
    <w:basedOn w:val="TableNormal"/>
    <w:uiPriority w:val="48"/>
    <w:rsid w:val="00341CA9"/>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1Light-Accent4">
    <w:name w:val="Grid Table 1 Light Accent 4"/>
    <w:basedOn w:val="TableNormal"/>
    <w:uiPriority w:val="46"/>
    <w:rsid w:val="00341CA9"/>
    <w:tblPr>
      <w:tblStyleRowBandSize w:val="1"/>
      <w:tblStyleColBandSize w:val="1"/>
      <w:tblBorders>
        <w:top w:val="single" w:color="F0F0F0" w:themeColor="accent4" w:themeTint="66" w:sz="4" w:space="0"/>
        <w:left w:val="single" w:color="F0F0F0" w:themeColor="accent4" w:themeTint="66" w:sz="4" w:space="0"/>
        <w:bottom w:val="single" w:color="F0F0F0" w:themeColor="accent4" w:themeTint="66" w:sz="4" w:space="0"/>
        <w:right w:val="single" w:color="F0F0F0" w:themeColor="accent4" w:themeTint="66" w:sz="4" w:space="0"/>
        <w:insideH w:val="single" w:color="F0F0F0" w:themeColor="accent4" w:themeTint="66" w:sz="4" w:space="0"/>
        <w:insideV w:val="single" w:color="F0F0F0" w:themeColor="accent4" w:themeTint="66" w:sz="4" w:space="0"/>
      </w:tblBorders>
    </w:tblPr>
    <w:tblStylePr w:type="firstRow">
      <w:rPr>
        <w:b/>
        <w:bCs/>
      </w:rPr>
      <w:tblPr/>
      <w:tcPr>
        <w:tcBorders>
          <w:bottom w:val="single" w:color="E8E8E8" w:themeColor="accent4" w:themeTint="99" w:sz="12" w:space="0"/>
        </w:tcBorders>
      </w:tcPr>
    </w:tblStylePr>
    <w:tblStylePr w:type="lastRow">
      <w:rPr>
        <w:b/>
        <w:bCs/>
      </w:rPr>
      <w:tblPr/>
      <w:tcPr>
        <w:tcBorders>
          <w:top w:val="double" w:color="E8E8E8" w:themeColor="accent4"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41CA9"/>
    <w:tblPr>
      <w:tblStyleRowBandSize w:val="1"/>
      <w:tblStyleColBandSize w:val="1"/>
      <w:tblBorders>
        <w:top w:val="single" w:color="E9F1E1" w:themeColor="accent3" w:themeTint="66" w:sz="4" w:space="0"/>
        <w:left w:val="single" w:color="E9F1E1" w:themeColor="accent3" w:themeTint="66" w:sz="4" w:space="0"/>
        <w:bottom w:val="single" w:color="E9F1E1" w:themeColor="accent3" w:themeTint="66" w:sz="4" w:space="0"/>
        <w:right w:val="single" w:color="E9F1E1" w:themeColor="accent3" w:themeTint="66" w:sz="4" w:space="0"/>
        <w:insideH w:val="single" w:color="E9F1E1" w:themeColor="accent3" w:themeTint="66" w:sz="4" w:space="0"/>
        <w:insideV w:val="single" w:color="E9F1E1" w:themeColor="accent3" w:themeTint="66" w:sz="4" w:space="0"/>
      </w:tblBorders>
    </w:tblPr>
    <w:tblStylePr w:type="firstRow">
      <w:rPr>
        <w:b/>
        <w:bCs/>
      </w:rPr>
      <w:tblPr/>
      <w:tcPr>
        <w:tcBorders>
          <w:bottom w:val="single" w:color="DEEBD2" w:themeColor="accent3" w:themeTint="99" w:sz="12" w:space="0"/>
        </w:tcBorders>
      </w:tcPr>
    </w:tblStylePr>
    <w:tblStylePr w:type="lastRow">
      <w:rPr>
        <w:b/>
        <w:bCs/>
      </w:rPr>
      <w:tblPr/>
      <w:tcPr>
        <w:tcBorders>
          <w:top w:val="double" w:color="DEEBD2" w:themeColor="accent3" w:themeTint="99" w:sz="2" w:space="0"/>
        </w:tcBorders>
      </w:tcPr>
    </w:tblStylePr>
    <w:tblStylePr w:type="firstCol">
      <w:rPr>
        <w:b/>
        <w:bCs/>
      </w:rPr>
    </w:tblStylePr>
    <w:tblStylePr w:type="lastCol">
      <w:rPr>
        <w:b/>
        <w:bCs/>
      </w:rPr>
    </w:tblStylePr>
  </w:style>
  <w:style w:type="character" w:styleId="SubtleReference">
    <w:name w:val="Subtle Reference"/>
    <w:basedOn w:val="DefaultParagraphFont"/>
    <w:uiPriority w:val="31"/>
    <w:qFormat/>
    <w:rsid w:val="00341CA9"/>
    <w:rPr>
      <w:smallCaps/>
      <w:color w:val="5A5A5A" w:themeColor="text1" w:themeTint="A5"/>
    </w:rPr>
  </w:style>
  <w:style w:type="paragraph" w:styleId="Style1" w:customStyle="1">
    <w:name w:val="Style1"/>
    <w:basedOn w:val="Heading3"/>
    <w:qFormat/>
    <w:rsid w:val="009C6E95"/>
    <w:pPr>
      <w:numPr>
        <w:ilvl w:val="1"/>
        <w:numId w:val="4"/>
      </w:numPr>
      <w:adjustRightInd w:val="0"/>
      <w:snapToGrid w:val="0"/>
      <w:spacing w:after="240"/>
      <w:ind w:left="432"/>
    </w:pPr>
    <w:rPr>
      <w:rFonts w:cs="Times New Roman Bold"/>
      <w:b/>
      <w:bCs/>
      <w:spacing w:val="20"/>
    </w:rPr>
  </w:style>
  <w:style w:type="character" w:styleId="Strong">
    <w:name w:val="Strong"/>
    <w:basedOn w:val="DefaultParagraphFont"/>
    <w:uiPriority w:val="22"/>
    <w:qFormat/>
    <w:rsid w:val="00FC7F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6471">
      <w:bodyDiv w:val="1"/>
      <w:marLeft w:val="0"/>
      <w:marRight w:val="0"/>
      <w:marTop w:val="0"/>
      <w:marBottom w:val="0"/>
      <w:divBdr>
        <w:top w:val="none" w:sz="0" w:space="0" w:color="auto"/>
        <w:left w:val="none" w:sz="0" w:space="0" w:color="auto"/>
        <w:bottom w:val="none" w:sz="0" w:space="0" w:color="auto"/>
        <w:right w:val="none" w:sz="0" w:space="0" w:color="auto"/>
      </w:divBdr>
    </w:div>
    <w:div w:id="53049019">
      <w:bodyDiv w:val="1"/>
      <w:marLeft w:val="0"/>
      <w:marRight w:val="0"/>
      <w:marTop w:val="0"/>
      <w:marBottom w:val="0"/>
      <w:divBdr>
        <w:top w:val="none" w:sz="0" w:space="0" w:color="auto"/>
        <w:left w:val="none" w:sz="0" w:space="0" w:color="auto"/>
        <w:bottom w:val="none" w:sz="0" w:space="0" w:color="auto"/>
        <w:right w:val="none" w:sz="0" w:space="0" w:color="auto"/>
      </w:divBdr>
    </w:div>
    <w:div w:id="54593803">
      <w:bodyDiv w:val="1"/>
      <w:marLeft w:val="0"/>
      <w:marRight w:val="0"/>
      <w:marTop w:val="0"/>
      <w:marBottom w:val="0"/>
      <w:divBdr>
        <w:top w:val="none" w:sz="0" w:space="0" w:color="auto"/>
        <w:left w:val="none" w:sz="0" w:space="0" w:color="auto"/>
        <w:bottom w:val="none" w:sz="0" w:space="0" w:color="auto"/>
        <w:right w:val="none" w:sz="0" w:space="0" w:color="auto"/>
      </w:divBdr>
    </w:div>
    <w:div w:id="88428393">
      <w:bodyDiv w:val="1"/>
      <w:marLeft w:val="0"/>
      <w:marRight w:val="0"/>
      <w:marTop w:val="0"/>
      <w:marBottom w:val="0"/>
      <w:divBdr>
        <w:top w:val="none" w:sz="0" w:space="0" w:color="auto"/>
        <w:left w:val="none" w:sz="0" w:space="0" w:color="auto"/>
        <w:bottom w:val="none" w:sz="0" w:space="0" w:color="auto"/>
        <w:right w:val="none" w:sz="0" w:space="0" w:color="auto"/>
      </w:divBdr>
    </w:div>
    <w:div w:id="123735960">
      <w:bodyDiv w:val="1"/>
      <w:marLeft w:val="0"/>
      <w:marRight w:val="0"/>
      <w:marTop w:val="0"/>
      <w:marBottom w:val="0"/>
      <w:divBdr>
        <w:top w:val="none" w:sz="0" w:space="0" w:color="auto"/>
        <w:left w:val="none" w:sz="0" w:space="0" w:color="auto"/>
        <w:bottom w:val="none" w:sz="0" w:space="0" w:color="auto"/>
        <w:right w:val="none" w:sz="0" w:space="0" w:color="auto"/>
      </w:divBdr>
    </w:div>
    <w:div w:id="146670882">
      <w:bodyDiv w:val="1"/>
      <w:marLeft w:val="0"/>
      <w:marRight w:val="0"/>
      <w:marTop w:val="0"/>
      <w:marBottom w:val="0"/>
      <w:divBdr>
        <w:top w:val="none" w:sz="0" w:space="0" w:color="auto"/>
        <w:left w:val="none" w:sz="0" w:space="0" w:color="auto"/>
        <w:bottom w:val="none" w:sz="0" w:space="0" w:color="auto"/>
        <w:right w:val="none" w:sz="0" w:space="0" w:color="auto"/>
      </w:divBdr>
    </w:div>
    <w:div w:id="210769369">
      <w:bodyDiv w:val="1"/>
      <w:marLeft w:val="0"/>
      <w:marRight w:val="0"/>
      <w:marTop w:val="0"/>
      <w:marBottom w:val="0"/>
      <w:divBdr>
        <w:top w:val="none" w:sz="0" w:space="0" w:color="auto"/>
        <w:left w:val="none" w:sz="0" w:space="0" w:color="auto"/>
        <w:bottom w:val="none" w:sz="0" w:space="0" w:color="auto"/>
        <w:right w:val="none" w:sz="0" w:space="0" w:color="auto"/>
      </w:divBdr>
    </w:div>
    <w:div w:id="247622645">
      <w:bodyDiv w:val="1"/>
      <w:marLeft w:val="0"/>
      <w:marRight w:val="0"/>
      <w:marTop w:val="0"/>
      <w:marBottom w:val="0"/>
      <w:divBdr>
        <w:top w:val="none" w:sz="0" w:space="0" w:color="auto"/>
        <w:left w:val="none" w:sz="0" w:space="0" w:color="auto"/>
        <w:bottom w:val="none" w:sz="0" w:space="0" w:color="auto"/>
        <w:right w:val="none" w:sz="0" w:space="0" w:color="auto"/>
      </w:divBdr>
    </w:div>
    <w:div w:id="279070974">
      <w:bodyDiv w:val="1"/>
      <w:marLeft w:val="0"/>
      <w:marRight w:val="0"/>
      <w:marTop w:val="0"/>
      <w:marBottom w:val="0"/>
      <w:divBdr>
        <w:top w:val="none" w:sz="0" w:space="0" w:color="auto"/>
        <w:left w:val="none" w:sz="0" w:space="0" w:color="auto"/>
        <w:bottom w:val="none" w:sz="0" w:space="0" w:color="auto"/>
        <w:right w:val="none" w:sz="0" w:space="0" w:color="auto"/>
      </w:divBdr>
    </w:div>
    <w:div w:id="308369372">
      <w:bodyDiv w:val="1"/>
      <w:marLeft w:val="0"/>
      <w:marRight w:val="0"/>
      <w:marTop w:val="0"/>
      <w:marBottom w:val="0"/>
      <w:divBdr>
        <w:top w:val="none" w:sz="0" w:space="0" w:color="auto"/>
        <w:left w:val="none" w:sz="0" w:space="0" w:color="auto"/>
        <w:bottom w:val="none" w:sz="0" w:space="0" w:color="auto"/>
        <w:right w:val="none" w:sz="0" w:space="0" w:color="auto"/>
      </w:divBdr>
    </w:div>
    <w:div w:id="309598922">
      <w:bodyDiv w:val="1"/>
      <w:marLeft w:val="0"/>
      <w:marRight w:val="0"/>
      <w:marTop w:val="0"/>
      <w:marBottom w:val="0"/>
      <w:divBdr>
        <w:top w:val="none" w:sz="0" w:space="0" w:color="auto"/>
        <w:left w:val="none" w:sz="0" w:space="0" w:color="auto"/>
        <w:bottom w:val="none" w:sz="0" w:space="0" w:color="auto"/>
        <w:right w:val="none" w:sz="0" w:space="0" w:color="auto"/>
      </w:divBdr>
    </w:div>
    <w:div w:id="323439167">
      <w:bodyDiv w:val="1"/>
      <w:marLeft w:val="0"/>
      <w:marRight w:val="0"/>
      <w:marTop w:val="0"/>
      <w:marBottom w:val="0"/>
      <w:divBdr>
        <w:top w:val="none" w:sz="0" w:space="0" w:color="auto"/>
        <w:left w:val="none" w:sz="0" w:space="0" w:color="auto"/>
        <w:bottom w:val="none" w:sz="0" w:space="0" w:color="auto"/>
        <w:right w:val="none" w:sz="0" w:space="0" w:color="auto"/>
      </w:divBdr>
    </w:div>
    <w:div w:id="325548206">
      <w:bodyDiv w:val="1"/>
      <w:marLeft w:val="0"/>
      <w:marRight w:val="0"/>
      <w:marTop w:val="0"/>
      <w:marBottom w:val="0"/>
      <w:divBdr>
        <w:top w:val="none" w:sz="0" w:space="0" w:color="auto"/>
        <w:left w:val="none" w:sz="0" w:space="0" w:color="auto"/>
        <w:bottom w:val="none" w:sz="0" w:space="0" w:color="auto"/>
        <w:right w:val="none" w:sz="0" w:space="0" w:color="auto"/>
      </w:divBdr>
    </w:div>
    <w:div w:id="341324664">
      <w:bodyDiv w:val="1"/>
      <w:marLeft w:val="0"/>
      <w:marRight w:val="0"/>
      <w:marTop w:val="0"/>
      <w:marBottom w:val="0"/>
      <w:divBdr>
        <w:top w:val="none" w:sz="0" w:space="0" w:color="auto"/>
        <w:left w:val="none" w:sz="0" w:space="0" w:color="auto"/>
        <w:bottom w:val="none" w:sz="0" w:space="0" w:color="auto"/>
        <w:right w:val="none" w:sz="0" w:space="0" w:color="auto"/>
      </w:divBdr>
    </w:div>
    <w:div w:id="362748091">
      <w:bodyDiv w:val="1"/>
      <w:marLeft w:val="0"/>
      <w:marRight w:val="0"/>
      <w:marTop w:val="0"/>
      <w:marBottom w:val="0"/>
      <w:divBdr>
        <w:top w:val="none" w:sz="0" w:space="0" w:color="auto"/>
        <w:left w:val="none" w:sz="0" w:space="0" w:color="auto"/>
        <w:bottom w:val="none" w:sz="0" w:space="0" w:color="auto"/>
        <w:right w:val="none" w:sz="0" w:space="0" w:color="auto"/>
      </w:divBdr>
    </w:div>
    <w:div w:id="377900277">
      <w:bodyDiv w:val="1"/>
      <w:marLeft w:val="0"/>
      <w:marRight w:val="0"/>
      <w:marTop w:val="0"/>
      <w:marBottom w:val="0"/>
      <w:divBdr>
        <w:top w:val="none" w:sz="0" w:space="0" w:color="auto"/>
        <w:left w:val="none" w:sz="0" w:space="0" w:color="auto"/>
        <w:bottom w:val="none" w:sz="0" w:space="0" w:color="auto"/>
        <w:right w:val="none" w:sz="0" w:space="0" w:color="auto"/>
      </w:divBdr>
    </w:div>
    <w:div w:id="383526344">
      <w:bodyDiv w:val="1"/>
      <w:marLeft w:val="0"/>
      <w:marRight w:val="0"/>
      <w:marTop w:val="0"/>
      <w:marBottom w:val="0"/>
      <w:divBdr>
        <w:top w:val="none" w:sz="0" w:space="0" w:color="auto"/>
        <w:left w:val="none" w:sz="0" w:space="0" w:color="auto"/>
        <w:bottom w:val="none" w:sz="0" w:space="0" w:color="auto"/>
        <w:right w:val="none" w:sz="0" w:space="0" w:color="auto"/>
      </w:divBdr>
    </w:div>
    <w:div w:id="385221873">
      <w:bodyDiv w:val="1"/>
      <w:marLeft w:val="0"/>
      <w:marRight w:val="0"/>
      <w:marTop w:val="0"/>
      <w:marBottom w:val="0"/>
      <w:divBdr>
        <w:top w:val="none" w:sz="0" w:space="0" w:color="auto"/>
        <w:left w:val="none" w:sz="0" w:space="0" w:color="auto"/>
        <w:bottom w:val="none" w:sz="0" w:space="0" w:color="auto"/>
        <w:right w:val="none" w:sz="0" w:space="0" w:color="auto"/>
      </w:divBdr>
      <w:divsChild>
        <w:div w:id="20207509">
          <w:marLeft w:val="1080"/>
          <w:marRight w:val="0"/>
          <w:marTop w:val="100"/>
          <w:marBottom w:val="0"/>
          <w:divBdr>
            <w:top w:val="none" w:sz="0" w:space="0" w:color="auto"/>
            <w:left w:val="none" w:sz="0" w:space="0" w:color="auto"/>
            <w:bottom w:val="none" w:sz="0" w:space="0" w:color="auto"/>
            <w:right w:val="none" w:sz="0" w:space="0" w:color="auto"/>
          </w:divBdr>
        </w:div>
      </w:divsChild>
    </w:div>
    <w:div w:id="394789375">
      <w:bodyDiv w:val="1"/>
      <w:marLeft w:val="0"/>
      <w:marRight w:val="0"/>
      <w:marTop w:val="0"/>
      <w:marBottom w:val="0"/>
      <w:divBdr>
        <w:top w:val="none" w:sz="0" w:space="0" w:color="auto"/>
        <w:left w:val="none" w:sz="0" w:space="0" w:color="auto"/>
        <w:bottom w:val="none" w:sz="0" w:space="0" w:color="auto"/>
        <w:right w:val="none" w:sz="0" w:space="0" w:color="auto"/>
      </w:divBdr>
    </w:div>
    <w:div w:id="423183708">
      <w:bodyDiv w:val="1"/>
      <w:marLeft w:val="0"/>
      <w:marRight w:val="0"/>
      <w:marTop w:val="0"/>
      <w:marBottom w:val="0"/>
      <w:divBdr>
        <w:top w:val="none" w:sz="0" w:space="0" w:color="auto"/>
        <w:left w:val="none" w:sz="0" w:space="0" w:color="auto"/>
        <w:bottom w:val="none" w:sz="0" w:space="0" w:color="auto"/>
        <w:right w:val="none" w:sz="0" w:space="0" w:color="auto"/>
      </w:divBdr>
    </w:div>
    <w:div w:id="484054291">
      <w:bodyDiv w:val="1"/>
      <w:marLeft w:val="0"/>
      <w:marRight w:val="0"/>
      <w:marTop w:val="0"/>
      <w:marBottom w:val="0"/>
      <w:divBdr>
        <w:top w:val="none" w:sz="0" w:space="0" w:color="auto"/>
        <w:left w:val="none" w:sz="0" w:space="0" w:color="auto"/>
        <w:bottom w:val="none" w:sz="0" w:space="0" w:color="auto"/>
        <w:right w:val="none" w:sz="0" w:space="0" w:color="auto"/>
      </w:divBdr>
    </w:div>
    <w:div w:id="491483913">
      <w:bodyDiv w:val="1"/>
      <w:marLeft w:val="0"/>
      <w:marRight w:val="0"/>
      <w:marTop w:val="0"/>
      <w:marBottom w:val="0"/>
      <w:divBdr>
        <w:top w:val="none" w:sz="0" w:space="0" w:color="auto"/>
        <w:left w:val="none" w:sz="0" w:space="0" w:color="auto"/>
        <w:bottom w:val="none" w:sz="0" w:space="0" w:color="auto"/>
        <w:right w:val="none" w:sz="0" w:space="0" w:color="auto"/>
      </w:divBdr>
    </w:div>
    <w:div w:id="529952730">
      <w:bodyDiv w:val="1"/>
      <w:marLeft w:val="0"/>
      <w:marRight w:val="0"/>
      <w:marTop w:val="0"/>
      <w:marBottom w:val="0"/>
      <w:divBdr>
        <w:top w:val="none" w:sz="0" w:space="0" w:color="auto"/>
        <w:left w:val="none" w:sz="0" w:space="0" w:color="auto"/>
        <w:bottom w:val="none" w:sz="0" w:space="0" w:color="auto"/>
        <w:right w:val="none" w:sz="0" w:space="0" w:color="auto"/>
      </w:divBdr>
    </w:div>
    <w:div w:id="538780656">
      <w:bodyDiv w:val="1"/>
      <w:marLeft w:val="0"/>
      <w:marRight w:val="0"/>
      <w:marTop w:val="0"/>
      <w:marBottom w:val="0"/>
      <w:divBdr>
        <w:top w:val="none" w:sz="0" w:space="0" w:color="auto"/>
        <w:left w:val="none" w:sz="0" w:space="0" w:color="auto"/>
        <w:bottom w:val="none" w:sz="0" w:space="0" w:color="auto"/>
        <w:right w:val="none" w:sz="0" w:space="0" w:color="auto"/>
      </w:divBdr>
    </w:div>
    <w:div w:id="546651945">
      <w:bodyDiv w:val="1"/>
      <w:marLeft w:val="0"/>
      <w:marRight w:val="0"/>
      <w:marTop w:val="0"/>
      <w:marBottom w:val="0"/>
      <w:divBdr>
        <w:top w:val="none" w:sz="0" w:space="0" w:color="auto"/>
        <w:left w:val="none" w:sz="0" w:space="0" w:color="auto"/>
        <w:bottom w:val="none" w:sz="0" w:space="0" w:color="auto"/>
        <w:right w:val="none" w:sz="0" w:space="0" w:color="auto"/>
      </w:divBdr>
    </w:div>
    <w:div w:id="558593440">
      <w:bodyDiv w:val="1"/>
      <w:marLeft w:val="0"/>
      <w:marRight w:val="0"/>
      <w:marTop w:val="0"/>
      <w:marBottom w:val="0"/>
      <w:divBdr>
        <w:top w:val="none" w:sz="0" w:space="0" w:color="auto"/>
        <w:left w:val="none" w:sz="0" w:space="0" w:color="auto"/>
        <w:bottom w:val="none" w:sz="0" w:space="0" w:color="auto"/>
        <w:right w:val="none" w:sz="0" w:space="0" w:color="auto"/>
      </w:divBdr>
    </w:div>
    <w:div w:id="583538127">
      <w:bodyDiv w:val="1"/>
      <w:marLeft w:val="0"/>
      <w:marRight w:val="0"/>
      <w:marTop w:val="0"/>
      <w:marBottom w:val="0"/>
      <w:divBdr>
        <w:top w:val="none" w:sz="0" w:space="0" w:color="auto"/>
        <w:left w:val="none" w:sz="0" w:space="0" w:color="auto"/>
        <w:bottom w:val="none" w:sz="0" w:space="0" w:color="auto"/>
        <w:right w:val="none" w:sz="0" w:space="0" w:color="auto"/>
      </w:divBdr>
    </w:div>
    <w:div w:id="595134599">
      <w:bodyDiv w:val="1"/>
      <w:marLeft w:val="0"/>
      <w:marRight w:val="0"/>
      <w:marTop w:val="0"/>
      <w:marBottom w:val="0"/>
      <w:divBdr>
        <w:top w:val="none" w:sz="0" w:space="0" w:color="auto"/>
        <w:left w:val="none" w:sz="0" w:space="0" w:color="auto"/>
        <w:bottom w:val="none" w:sz="0" w:space="0" w:color="auto"/>
        <w:right w:val="none" w:sz="0" w:space="0" w:color="auto"/>
      </w:divBdr>
    </w:div>
    <w:div w:id="641160197">
      <w:bodyDiv w:val="1"/>
      <w:marLeft w:val="0"/>
      <w:marRight w:val="0"/>
      <w:marTop w:val="0"/>
      <w:marBottom w:val="0"/>
      <w:divBdr>
        <w:top w:val="none" w:sz="0" w:space="0" w:color="auto"/>
        <w:left w:val="none" w:sz="0" w:space="0" w:color="auto"/>
        <w:bottom w:val="none" w:sz="0" w:space="0" w:color="auto"/>
        <w:right w:val="none" w:sz="0" w:space="0" w:color="auto"/>
      </w:divBdr>
    </w:div>
    <w:div w:id="644891733">
      <w:bodyDiv w:val="1"/>
      <w:marLeft w:val="0"/>
      <w:marRight w:val="0"/>
      <w:marTop w:val="0"/>
      <w:marBottom w:val="0"/>
      <w:divBdr>
        <w:top w:val="none" w:sz="0" w:space="0" w:color="auto"/>
        <w:left w:val="none" w:sz="0" w:space="0" w:color="auto"/>
        <w:bottom w:val="none" w:sz="0" w:space="0" w:color="auto"/>
        <w:right w:val="none" w:sz="0" w:space="0" w:color="auto"/>
      </w:divBdr>
    </w:div>
    <w:div w:id="661199403">
      <w:bodyDiv w:val="1"/>
      <w:marLeft w:val="0"/>
      <w:marRight w:val="0"/>
      <w:marTop w:val="0"/>
      <w:marBottom w:val="0"/>
      <w:divBdr>
        <w:top w:val="none" w:sz="0" w:space="0" w:color="auto"/>
        <w:left w:val="none" w:sz="0" w:space="0" w:color="auto"/>
        <w:bottom w:val="none" w:sz="0" w:space="0" w:color="auto"/>
        <w:right w:val="none" w:sz="0" w:space="0" w:color="auto"/>
      </w:divBdr>
    </w:div>
    <w:div w:id="764229099">
      <w:bodyDiv w:val="1"/>
      <w:marLeft w:val="0"/>
      <w:marRight w:val="0"/>
      <w:marTop w:val="0"/>
      <w:marBottom w:val="0"/>
      <w:divBdr>
        <w:top w:val="none" w:sz="0" w:space="0" w:color="auto"/>
        <w:left w:val="none" w:sz="0" w:space="0" w:color="auto"/>
        <w:bottom w:val="none" w:sz="0" w:space="0" w:color="auto"/>
        <w:right w:val="none" w:sz="0" w:space="0" w:color="auto"/>
      </w:divBdr>
    </w:div>
    <w:div w:id="789519608">
      <w:bodyDiv w:val="1"/>
      <w:marLeft w:val="0"/>
      <w:marRight w:val="0"/>
      <w:marTop w:val="0"/>
      <w:marBottom w:val="0"/>
      <w:divBdr>
        <w:top w:val="none" w:sz="0" w:space="0" w:color="auto"/>
        <w:left w:val="none" w:sz="0" w:space="0" w:color="auto"/>
        <w:bottom w:val="none" w:sz="0" w:space="0" w:color="auto"/>
        <w:right w:val="none" w:sz="0" w:space="0" w:color="auto"/>
      </w:divBdr>
    </w:div>
    <w:div w:id="792745210">
      <w:bodyDiv w:val="1"/>
      <w:marLeft w:val="0"/>
      <w:marRight w:val="0"/>
      <w:marTop w:val="0"/>
      <w:marBottom w:val="0"/>
      <w:divBdr>
        <w:top w:val="none" w:sz="0" w:space="0" w:color="auto"/>
        <w:left w:val="none" w:sz="0" w:space="0" w:color="auto"/>
        <w:bottom w:val="none" w:sz="0" w:space="0" w:color="auto"/>
        <w:right w:val="none" w:sz="0" w:space="0" w:color="auto"/>
      </w:divBdr>
    </w:div>
    <w:div w:id="882444966">
      <w:bodyDiv w:val="1"/>
      <w:marLeft w:val="0"/>
      <w:marRight w:val="0"/>
      <w:marTop w:val="0"/>
      <w:marBottom w:val="0"/>
      <w:divBdr>
        <w:top w:val="none" w:sz="0" w:space="0" w:color="auto"/>
        <w:left w:val="none" w:sz="0" w:space="0" w:color="auto"/>
        <w:bottom w:val="none" w:sz="0" w:space="0" w:color="auto"/>
        <w:right w:val="none" w:sz="0" w:space="0" w:color="auto"/>
      </w:divBdr>
    </w:div>
    <w:div w:id="887378776">
      <w:bodyDiv w:val="1"/>
      <w:marLeft w:val="0"/>
      <w:marRight w:val="0"/>
      <w:marTop w:val="0"/>
      <w:marBottom w:val="0"/>
      <w:divBdr>
        <w:top w:val="none" w:sz="0" w:space="0" w:color="auto"/>
        <w:left w:val="none" w:sz="0" w:space="0" w:color="auto"/>
        <w:bottom w:val="none" w:sz="0" w:space="0" w:color="auto"/>
        <w:right w:val="none" w:sz="0" w:space="0" w:color="auto"/>
      </w:divBdr>
    </w:div>
    <w:div w:id="896938542">
      <w:bodyDiv w:val="1"/>
      <w:marLeft w:val="0"/>
      <w:marRight w:val="0"/>
      <w:marTop w:val="0"/>
      <w:marBottom w:val="0"/>
      <w:divBdr>
        <w:top w:val="none" w:sz="0" w:space="0" w:color="auto"/>
        <w:left w:val="none" w:sz="0" w:space="0" w:color="auto"/>
        <w:bottom w:val="none" w:sz="0" w:space="0" w:color="auto"/>
        <w:right w:val="none" w:sz="0" w:space="0" w:color="auto"/>
      </w:divBdr>
    </w:div>
    <w:div w:id="939029231">
      <w:bodyDiv w:val="1"/>
      <w:marLeft w:val="0"/>
      <w:marRight w:val="0"/>
      <w:marTop w:val="0"/>
      <w:marBottom w:val="0"/>
      <w:divBdr>
        <w:top w:val="none" w:sz="0" w:space="0" w:color="auto"/>
        <w:left w:val="none" w:sz="0" w:space="0" w:color="auto"/>
        <w:bottom w:val="none" w:sz="0" w:space="0" w:color="auto"/>
        <w:right w:val="none" w:sz="0" w:space="0" w:color="auto"/>
      </w:divBdr>
    </w:div>
    <w:div w:id="992296607">
      <w:bodyDiv w:val="1"/>
      <w:marLeft w:val="0"/>
      <w:marRight w:val="0"/>
      <w:marTop w:val="0"/>
      <w:marBottom w:val="0"/>
      <w:divBdr>
        <w:top w:val="none" w:sz="0" w:space="0" w:color="auto"/>
        <w:left w:val="none" w:sz="0" w:space="0" w:color="auto"/>
        <w:bottom w:val="none" w:sz="0" w:space="0" w:color="auto"/>
        <w:right w:val="none" w:sz="0" w:space="0" w:color="auto"/>
      </w:divBdr>
    </w:div>
    <w:div w:id="1002317849">
      <w:bodyDiv w:val="1"/>
      <w:marLeft w:val="0"/>
      <w:marRight w:val="0"/>
      <w:marTop w:val="0"/>
      <w:marBottom w:val="0"/>
      <w:divBdr>
        <w:top w:val="none" w:sz="0" w:space="0" w:color="auto"/>
        <w:left w:val="none" w:sz="0" w:space="0" w:color="auto"/>
        <w:bottom w:val="none" w:sz="0" w:space="0" w:color="auto"/>
        <w:right w:val="none" w:sz="0" w:space="0" w:color="auto"/>
      </w:divBdr>
    </w:div>
    <w:div w:id="1030110141">
      <w:bodyDiv w:val="1"/>
      <w:marLeft w:val="0"/>
      <w:marRight w:val="0"/>
      <w:marTop w:val="0"/>
      <w:marBottom w:val="0"/>
      <w:divBdr>
        <w:top w:val="none" w:sz="0" w:space="0" w:color="auto"/>
        <w:left w:val="none" w:sz="0" w:space="0" w:color="auto"/>
        <w:bottom w:val="none" w:sz="0" w:space="0" w:color="auto"/>
        <w:right w:val="none" w:sz="0" w:space="0" w:color="auto"/>
      </w:divBdr>
    </w:div>
    <w:div w:id="1030497658">
      <w:bodyDiv w:val="1"/>
      <w:marLeft w:val="0"/>
      <w:marRight w:val="0"/>
      <w:marTop w:val="0"/>
      <w:marBottom w:val="0"/>
      <w:divBdr>
        <w:top w:val="none" w:sz="0" w:space="0" w:color="auto"/>
        <w:left w:val="none" w:sz="0" w:space="0" w:color="auto"/>
        <w:bottom w:val="none" w:sz="0" w:space="0" w:color="auto"/>
        <w:right w:val="none" w:sz="0" w:space="0" w:color="auto"/>
      </w:divBdr>
    </w:div>
    <w:div w:id="1058167555">
      <w:bodyDiv w:val="1"/>
      <w:marLeft w:val="0"/>
      <w:marRight w:val="0"/>
      <w:marTop w:val="0"/>
      <w:marBottom w:val="0"/>
      <w:divBdr>
        <w:top w:val="none" w:sz="0" w:space="0" w:color="auto"/>
        <w:left w:val="none" w:sz="0" w:space="0" w:color="auto"/>
        <w:bottom w:val="none" w:sz="0" w:space="0" w:color="auto"/>
        <w:right w:val="none" w:sz="0" w:space="0" w:color="auto"/>
      </w:divBdr>
    </w:div>
    <w:div w:id="1064256815">
      <w:bodyDiv w:val="1"/>
      <w:marLeft w:val="0"/>
      <w:marRight w:val="0"/>
      <w:marTop w:val="0"/>
      <w:marBottom w:val="0"/>
      <w:divBdr>
        <w:top w:val="none" w:sz="0" w:space="0" w:color="auto"/>
        <w:left w:val="none" w:sz="0" w:space="0" w:color="auto"/>
        <w:bottom w:val="none" w:sz="0" w:space="0" w:color="auto"/>
        <w:right w:val="none" w:sz="0" w:space="0" w:color="auto"/>
      </w:divBdr>
    </w:div>
    <w:div w:id="1079449066">
      <w:bodyDiv w:val="1"/>
      <w:marLeft w:val="0"/>
      <w:marRight w:val="0"/>
      <w:marTop w:val="0"/>
      <w:marBottom w:val="0"/>
      <w:divBdr>
        <w:top w:val="none" w:sz="0" w:space="0" w:color="auto"/>
        <w:left w:val="none" w:sz="0" w:space="0" w:color="auto"/>
        <w:bottom w:val="none" w:sz="0" w:space="0" w:color="auto"/>
        <w:right w:val="none" w:sz="0" w:space="0" w:color="auto"/>
      </w:divBdr>
    </w:div>
    <w:div w:id="1090153398">
      <w:bodyDiv w:val="1"/>
      <w:marLeft w:val="0"/>
      <w:marRight w:val="0"/>
      <w:marTop w:val="0"/>
      <w:marBottom w:val="0"/>
      <w:divBdr>
        <w:top w:val="none" w:sz="0" w:space="0" w:color="auto"/>
        <w:left w:val="none" w:sz="0" w:space="0" w:color="auto"/>
        <w:bottom w:val="none" w:sz="0" w:space="0" w:color="auto"/>
        <w:right w:val="none" w:sz="0" w:space="0" w:color="auto"/>
      </w:divBdr>
    </w:div>
    <w:div w:id="1131021188">
      <w:bodyDiv w:val="1"/>
      <w:marLeft w:val="0"/>
      <w:marRight w:val="0"/>
      <w:marTop w:val="0"/>
      <w:marBottom w:val="0"/>
      <w:divBdr>
        <w:top w:val="none" w:sz="0" w:space="0" w:color="auto"/>
        <w:left w:val="none" w:sz="0" w:space="0" w:color="auto"/>
        <w:bottom w:val="none" w:sz="0" w:space="0" w:color="auto"/>
        <w:right w:val="none" w:sz="0" w:space="0" w:color="auto"/>
      </w:divBdr>
    </w:div>
    <w:div w:id="1165319980">
      <w:bodyDiv w:val="1"/>
      <w:marLeft w:val="0"/>
      <w:marRight w:val="0"/>
      <w:marTop w:val="0"/>
      <w:marBottom w:val="0"/>
      <w:divBdr>
        <w:top w:val="none" w:sz="0" w:space="0" w:color="auto"/>
        <w:left w:val="none" w:sz="0" w:space="0" w:color="auto"/>
        <w:bottom w:val="none" w:sz="0" w:space="0" w:color="auto"/>
        <w:right w:val="none" w:sz="0" w:space="0" w:color="auto"/>
      </w:divBdr>
    </w:div>
    <w:div w:id="1277103700">
      <w:bodyDiv w:val="1"/>
      <w:marLeft w:val="0"/>
      <w:marRight w:val="0"/>
      <w:marTop w:val="0"/>
      <w:marBottom w:val="0"/>
      <w:divBdr>
        <w:top w:val="none" w:sz="0" w:space="0" w:color="auto"/>
        <w:left w:val="none" w:sz="0" w:space="0" w:color="auto"/>
        <w:bottom w:val="none" w:sz="0" w:space="0" w:color="auto"/>
        <w:right w:val="none" w:sz="0" w:space="0" w:color="auto"/>
      </w:divBdr>
    </w:div>
    <w:div w:id="1323660029">
      <w:bodyDiv w:val="1"/>
      <w:marLeft w:val="0"/>
      <w:marRight w:val="0"/>
      <w:marTop w:val="0"/>
      <w:marBottom w:val="0"/>
      <w:divBdr>
        <w:top w:val="none" w:sz="0" w:space="0" w:color="auto"/>
        <w:left w:val="none" w:sz="0" w:space="0" w:color="auto"/>
        <w:bottom w:val="none" w:sz="0" w:space="0" w:color="auto"/>
        <w:right w:val="none" w:sz="0" w:space="0" w:color="auto"/>
      </w:divBdr>
    </w:div>
    <w:div w:id="1389841123">
      <w:bodyDiv w:val="1"/>
      <w:marLeft w:val="0"/>
      <w:marRight w:val="0"/>
      <w:marTop w:val="0"/>
      <w:marBottom w:val="0"/>
      <w:divBdr>
        <w:top w:val="none" w:sz="0" w:space="0" w:color="auto"/>
        <w:left w:val="none" w:sz="0" w:space="0" w:color="auto"/>
        <w:bottom w:val="none" w:sz="0" w:space="0" w:color="auto"/>
        <w:right w:val="none" w:sz="0" w:space="0" w:color="auto"/>
      </w:divBdr>
    </w:div>
    <w:div w:id="1402754970">
      <w:bodyDiv w:val="1"/>
      <w:marLeft w:val="0"/>
      <w:marRight w:val="0"/>
      <w:marTop w:val="0"/>
      <w:marBottom w:val="0"/>
      <w:divBdr>
        <w:top w:val="none" w:sz="0" w:space="0" w:color="auto"/>
        <w:left w:val="none" w:sz="0" w:space="0" w:color="auto"/>
        <w:bottom w:val="none" w:sz="0" w:space="0" w:color="auto"/>
        <w:right w:val="none" w:sz="0" w:space="0" w:color="auto"/>
      </w:divBdr>
    </w:div>
    <w:div w:id="1467434822">
      <w:bodyDiv w:val="1"/>
      <w:marLeft w:val="0"/>
      <w:marRight w:val="0"/>
      <w:marTop w:val="0"/>
      <w:marBottom w:val="0"/>
      <w:divBdr>
        <w:top w:val="none" w:sz="0" w:space="0" w:color="auto"/>
        <w:left w:val="none" w:sz="0" w:space="0" w:color="auto"/>
        <w:bottom w:val="none" w:sz="0" w:space="0" w:color="auto"/>
        <w:right w:val="none" w:sz="0" w:space="0" w:color="auto"/>
      </w:divBdr>
    </w:div>
    <w:div w:id="1493251637">
      <w:bodyDiv w:val="1"/>
      <w:marLeft w:val="0"/>
      <w:marRight w:val="0"/>
      <w:marTop w:val="0"/>
      <w:marBottom w:val="0"/>
      <w:divBdr>
        <w:top w:val="none" w:sz="0" w:space="0" w:color="auto"/>
        <w:left w:val="none" w:sz="0" w:space="0" w:color="auto"/>
        <w:bottom w:val="none" w:sz="0" w:space="0" w:color="auto"/>
        <w:right w:val="none" w:sz="0" w:space="0" w:color="auto"/>
      </w:divBdr>
    </w:div>
    <w:div w:id="1505972902">
      <w:bodyDiv w:val="1"/>
      <w:marLeft w:val="0"/>
      <w:marRight w:val="0"/>
      <w:marTop w:val="0"/>
      <w:marBottom w:val="0"/>
      <w:divBdr>
        <w:top w:val="none" w:sz="0" w:space="0" w:color="auto"/>
        <w:left w:val="none" w:sz="0" w:space="0" w:color="auto"/>
        <w:bottom w:val="none" w:sz="0" w:space="0" w:color="auto"/>
        <w:right w:val="none" w:sz="0" w:space="0" w:color="auto"/>
      </w:divBdr>
    </w:div>
    <w:div w:id="1515996532">
      <w:bodyDiv w:val="1"/>
      <w:marLeft w:val="0"/>
      <w:marRight w:val="0"/>
      <w:marTop w:val="0"/>
      <w:marBottom w:val="0"/>
      <w:divBdr>
        <w:top w:val="none" w:sz="0" w:space="0" w:color="auto"/>
        <w:left w:val="none" w:sz="0" w:space="0" w:color="auto"/>
        <w:bottom w:val="none" w:sz="0" w:space="0" w:color="auto"/>
        <w:right w:val="none" w:sz="0" w:space="0" w:color="auto"/>
      </w:divBdr>
    </w:div>
    <w:div w:id="1531793774">
      <w:bodyDiv w:val="1"/>
      <w:marLeft w:val="0"/>
      <w:marRight w:val="0"/>
      <w:marTop w:val="0"/>
      <w:marBottom w:val="0"/>
      <w:divBdr>
        <w:top w:val="none" w:sz="0" w:space="0" w:color="auto"/>
        <w:left w:val="none" w:sz="0" w:space="0" w:color="auto"/>
        <w:bottom w:val="none" w:sz="0" w:space="0" w:color="auto"/>
        <w:right w:val="none" w:sz="0" w:space="0" w:color="auto"/>
      </w:divBdr>
    </w:div>
    <w:div w:id="1588422864">
      <w:bodyDiv w:val="1"/>
      <w:marLeft w:val="0"/>
      <w:marRight w:val="0"/>
      <w:marTop w:val="0"/>
      <w:marBottom w:val="0"/>
      <w:divBdr>
        <w:top w:val="none" w:sz="0" w:space="0" w:color="auto"/>
        <w:left w:val="none" w:sz="0" w:space="0" w:color="auto"/>
        <w:bottom w:val="none" w:sz="0" w:space="0" w:color="auto"/>
        <w:right w:val="none" w:sz="0" w:space="0" w:color="auto"/>
      </w:divBdr>
    </w:div>
    <w:div w:id="1655064412">
      <w:bodyDiv w:val="1"/>
      <w:marLeft w:val="0"/>
      <w:marRight w:val="0"/>
      <w:marTop w:val="0"/>
      <w:marBottom w:val="0"/>
      <w:divBdr>
        <w:top w:val="none" w:sz="0" w:space="0" w:color="auto"/>
        <w:left w:val="none" w:sz="0" w:space="0" w:color="auto"/>
        <w:bottom w:val="none" w:sz="0" w:space="0" w:color="auto"/>
        <w:right w:val="none" w:sz="0" w:space="0" w:color="auto"/>
      </w:divBdr>
    </w:div>
    <w:div w:id="1667441524">
      <w:bodyDiv w:val="1"/>
      <w:marLeft w:val="0"/>
      <w:marRight w:val="0"/>
      <w:marTop w:val="0"/>
      <w:marBottom w:val="0"/>
      <w:divBdr>
        <w:top w:val="none" w:sz="0" w:space="0" w:color="auto"/>
        <w:left w:val="none" w:sz="0" w:space="0" w:color="auto"/>
        <w:bottom w:val="none" w:sz="0" w:space="0" w:color="auto"/>
        <w:right w:val="none" w:sz="0" w:space="0" w:color="auto"/>
      </w:divBdr>
    </w:div>
    <w:div w:id="1738239500">
      <w:bodyDiv w:val="1"/>
      <w:marLeft w:val="0"/>
      <w:marRight w:val="0"/>
      <w:marTop w:val="0"/>
      <w:marBottom w:val="0"/>
      <w:divBdr>
        <w:top w:val="none" w:sz="0" w:space="0" w:color="auto"/>
        <w:left w:val="none" w:sz="0" w:space="0" w:color="auto"/>
        <w:bottom w:val="none" w:sz="0" w:space="0" w:color="auto"/>
        <w:right w:val="none" w:sz="0" w:space="0" w:color="auto"/>
      </w:divBdr>
    </w:div>
    <w:div w:id="1829710840">
      <w:bodyDiv w:val="1"/>
      <w:marLeft w:val="0"/>
      <w:marRight w:val="0"/>
      <w:marTop w:val="0"/>
      <w:marBottom w:val="0"/>
      <w:divBdr>
        <w:top w:val="none" w:sz="0" w:space="0" w:color="auto"/>
        <w:left w:val="none" w:sz="0" w:space="0" w:color="auto"/>
        <w:bottom w:val="none" w:sz="0" w:space="0" w:color="auto"/>
        <w:right w:val="none" w:sz="0" w:space="0" w:color="auto"/>
      </w:divBdr>
    </w:div>
    <w:div w:id="1835298982">
      <w:bodyDiv w:val="1"/>
      <w:marLeft w:val="0"/>
      <w:marRight w:val="0"/>
      <w:marTop w:val="0"/>
      <w:marBottom w:val="0"/>
      <w:divBdr>
        <w:top w:val="none" w:sz="0" w:space="0" w:color="auto"/>
        <w:left w:val="none" w:sz="0" w:space="0" w:color="auto"/>
        <w:bottom w:val="none" w:sz="0" w:space="0" w:color="auto"/>
        <w:right w:val="none" w:sz="0" w:space="0" w:color="auto"/>
      </w:divBdr>
    </w:div>
    <w:div w:id="1852334895">
      <w:bodyDiv w:val="1"/>
      <w:marLeft w:val="0"/>
      <w:marRight w:val="0"/>
      <w:marTop w:val="0"/>
      <w:marBottom w:val="0"/>
      <w:divBdr>
        <w:top w:val="none" w:sz="0" w:space="0" w:color="auto"/>
        <w:left w:val="none" w:sz="0" w:space="0" w:color="auto"/>
        <w:bottom w:val="none" w:sz="0" w:space="0" w:color="auto"/>
        <w:right w:val="none" w:sz="0" w:space="0" w:color="auto"/>
      </w:divBdr>
    </w:div>
    <w:div w:id="1898319692">
      <w:bodyDiv w:val="1"/>
      <w:marLeft w:val="0"/>
      <w:marRight w:val="0"/>
      <w:marTop w:val="0"/>
      <w:marBottom w:val="0"/>
      <w:divBdr>
        <w:top w:val="none" w:sz="0" w:space="0" w:color="auto"/>
        <w:left w:val="none" w:sz="0" w:space="0" w:color="auto"/>
        <w:bottom w:val="none" w:sz="0" w:space="0" w:color="auto"/>
        <w:right w:val="none" w:sz="0" w:space="0" w:color="auto"/>
      </w:divBdr>
    </w:div>
    <w:div w:id="1980189217">
      <w:bodyDiv w:val="1"/>
      <w:marLeft w:val="0"/>
      <w:marRight w:val="0"/>
      <w:marTop w:val="0"/>
      <w:marBottom w:val="0"/>
      <w:divBdr>
        <w:top w:val="none" w:sz="0" w:space="0" w:color="auto"/>
        <w:left w:val="none" w:sz="0" w:space="0" w:color="auto"/>
        <w:bottom w:val="none" w:sz="0" w:space="0" w:color="auto"/>
        <w:right w:val="none" w:sz="0" w:space="0" w:color="auto"/>
      </w:divBdr>
    </w:div>
    <w:div w:id="1986858878">
      <w:bodyDiv w:val="1"/>
      <w:marLeft w:val="0"/>
      <w:marRight w:val="0"/>
      <w:marTop w:val="0"/>
      <w:marBottom w:val="0"/>
      <w:divBdr>
        <w:top w:val="none" w:sz="0" w:space="0" w:color="auto"/>
        <w:left w:val="none" w:sz="0" w:space="0" w:color="auto"/>
        <w:bottom w:val="none" w:sz="0" w:space="0" w:color="auto"/>
        <w:right w:val="none" w:sz="0" w:space="0" w:color="auto"/>
      </w:divBdr>
    </w:div>
    <w:div w:id="1987588900">
      <w:bodyDiv w:val="1"/>
      <w:marLeft w:val="0"/>
      <w:marRight w:val="0"/>
      <w:marTop w:val="0"/>
      <w:marBottom w:val="0"/>
      <w:divBdr>
        <w:top w:val="none" w:sz="0" w:space="0" w:color="auto"/>
        <w:left w:val="none" w:sz="0" w:space="0" w:color="auto"/>
        <w:bottom w:val="none" w:sz="0" w:space="0" w:color="auto"/>
        <w:right w:val="none" w:sz="0" w:space="0" w:color="auto"/>
      </w:divBdr>
    </w:div>
    <w:div w:id="2003778257">
      <w:bodyDiv w:val="1"/>
      <w:marLeft w:val="0"/>
      <w:marRight w:val="0"/>
      <w:marTop w:val="0"/>
      <w:marBottom w:val="0"/>
      <w:divBdr>
        <w:top w:val="none" w:sz="0" w:space="0" w:color="auto"/>
        <w:left w:val="none" w:sz="0" w:space="0" w:color="auto"/>
        <w:bottom w:val="none" w:sz="0" w:space="0" w:color="auto"/>
        <w:right w:val="none" w:sz="0" w:space="0" w:color="auto"/>
      </w:divBdr>
    </w:div>
    <w:div w:id="2024017725">
      <w:bodyDiv w:val="1"/>
      <w:marLeft w:val="0"/>
      <w:marRight w:val="0"/>
      <w:marTop w:val="0"/>
      <w:marBottom w:val="0"/>
      <w:divBdr>
        <w:top w:val="none" w:sz="0" w:space="0" w:color="auto"/>
        <w:left w:val="none" w:sz="0" w:space="0" w:color="auto"/>
        <w:bottom w:val="none" w:sz="0" w:space="0" w:color="auto"/>
        <w:right w:val="none" w:sz="0" w:space="0" w:color="auto"/>
      </w:divBdr>
    </w:div>
    <w:div w:id="2026058728">
      <w:bodyDiv w:val="1"/>
      <w:marLeft w:val="0"/>
      <w:marRight w:val="0"/>
      <w:marTop w:val="0"/>
      <w:marBottom w:val="0"/>
      <w:divBdr>
        <w:top w:val="none" w:sz="0" w:space="0" w:color="auto"/>
        <w:left w:val="none" w:sz="0" w:space="0" w:color="auto"/>
        <w:bottom w:val="none" w:sz="0" w:space="0" w:color="auto"/>
        <w:right w:val="none" w:sz="0" w:space="0" w:color="auto"/>
      </w:divBdr>
    </w:div>
    <w:div w:id="2068143135">
      <w:bodyDiv w:val="1"/>
      <w:marLeft w:val="0"/>
      <w:marRight w:val="0"/>
      <w:marTop w:val="0"/>
      <w:marBottom w:val="0"/>
      <w:divBdr>
        <w:top w:val="none" w:sz="0" w:space="0" w:color="auto"/>
        <w:left w:val="none" w:sz="0" w:space="0" w:color="auto"/>
        <w:bottom w:val="none" w:sz="0" w:space="0" w:color="auto"/>
        <w:right w:val="none" w:sz="0" w:space="0" w:color="auto"/>
      </w:divBdr>
    </w:div>
    <w:div w:id="2077314133">
      <w:bodyDiv w:val="1"/>
      <w:marLeft w:val="0"/>
      <w:marRight w:val="0"/>
      <w:marTop w:val="0"/>
      <w:marBottom w:val="0"/>
      <w:divBdr>
        <w:top w:val="none" w:sz="0" w:space="0" w:color="auto"/>
        <w:left w:val="none" w:sz="0" w:space="0" w:color="auto"/>
        <w:bottom w:val="none" w:sz="0" w:space="0" w:color="auto"/>
        <w:right w:val="none" w:sz="0" w:space="0" w:color="auto"/>
      </w:divBdr>
    </w:div>
    <w:div w:id="2078092609">
      <w:bodyDiv w:val="1"/>
      <w:marLeft w:val="0"/>
      <w:marRight w:val="0"/>
      <w:marTop w:val="0"/>
      <w:marBottom w:val="0"/>
      <w:divBdr>
        <w:top w:val="none" w:sz="0" w:space="0" w:color="auto"/>
        <w:left w:val="none" w:sz="0" w:space="0" w:color="auto"/>
        <w:bottom w:val="none" w:sz="0" w:space="0" w:color="auto"/>
        <w:right w:val="none" w:sz="0" w:space="0" w:color="auto"/>
      </w:divBdr>
    </w:div>
    <w:div w:id="2084795082">
      <w:bodyDiv w:val="1"/>
      <w:marLeft w:val="0"/>
      <w:marRight w:val="0"/>
      <w:marTop w:val="0"/>
      <w:marBottom w:val="0"/>
      <w:divBdr>
        <w:top w:val="none" w:sz="0" w:space="0" w:color="auto"/>
        <w:left w:val="none" w:sz="0" w:space="0" w:color="auto"/>
        <w:bottom w:val="none" w:sz="0" w:space="0" w:color="auto"/>
        <w:right w:val="none" w:sz="0" w:space="0" w:color="auto"/>
      </w:divBdr>
    </w:div>
    <w:div w:id="2095007687">
      <w:bodyDiv w:val="1"/>
      <w:marLeft w:val="0"/>
      <w:marRight w:val="0"/>
      <w:marTop w:val="0"/>
      <w:marBottom w:val="0"/>
      <w:divBdr>
        <w:top w:val="none" w:sz="0" w:space="0" w:color="auto"/>
        <w:left w:val="none" w:sz="0" w:space="0" w:color="auto"/>
        <w:bottom w:val="none" w:sz="0" w:space="0" w:color="auto"/>
        <w:right w:val="none" w:sz="0" w:space="0" w:color="auto"/>
      </w:divBdr>
    </w:div>
    <w:div w:id="2113041923">
      <w:bodyDiv w:val="1"/>
      <w:marLeft w:val="0"/>
      <w:marRight w:val="0"/>
      <w:marTop w:val="0"/>
      <w:marBottom w:val="0"/>
      <w:divBdr>
        <w:top w:val="none" w:sz="0" w:space="0" w:color="auto"/>
        <w:left w:val="none" w:sz="0" w:space="0" w:color="auto"/>
        <w:bottom w:val="none" w:sz="0" w:space="0" w:color="auto"/>
        <w:right w:val="none" w:sz="0" w:space="0" w:color="auto"/>
      </w:divBdr>
    </w:div>
    <w:div w:id="2123181251">
      <w:bodyDiv w:val="1"/>
      <w:marLeft w:val="0"/>
      <w:marRight w:val="0"/>
      <w:marTop w:val="0"/>
      <w:marBottom w:val="0"/>
      <w:divBdr>
        <w:top w:val="none" w:sz="0" w:space="0" w:color="auto"/>
        <w:left w:val="none" w:sz="0" w:space="0" w:color="auto"/>
        <w:bottom w:val="none" w:sz="0" w:space="0" w:color="auto"/>
        <w:right w:val="none" w:sz="0" w:space="0" w:color="auto"/>
      </w:divBdr>
    </w:div>
    <w:div w:id="214395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mass.gov/info-details/stretch-energy-code-development-2022" TargetMode="External" Id="rId13" /><Relationship Type="http://schemas.openxmlformats.org/officeDocument/2006/relationships/hyperlink" Target="https://codes.iccsafe.org/content/CAGBC2022P1" TargetMode="External" Id="rId18" /><Relationship Type="http://schemas.openxmlformats.org/officeDocument/2006/relationships/hyperlink" Target="https://www.pvpc.org/sites/default/files/doc-ev-charging-station-plan/guide3215.pdf" TargetMode="External" Id="rId26" /><Relationship Type="http://schemas.openxmlformats.org/officeDocument/2006/relationships/fontTable" Target="fontTable.xml" Id="rId39" /><Relationship Type="http://schemas.openxmlformats.org/officeDocument/2006/relationships/hyperlink" Target="https://publicservice.vermont.gov/sites/dps/files/documents/2020-VT_Residential_Energy_Code_Handbook_v8.pdf" TargetMode="External" Id="rId21" /><Relationship Type="http://schemas.openxmlformats.org/officeDocument/2006/relationships/hyperlink" Target="https://www.capecodcommission.org/our-work/solar-screening-tool/" TargetMode="External" Id="rId34"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afdc.energy.gov/fuels/laws/ELEC?state=MA" TargetMode="External" Id="rId17" /><Relationship Type="http://schemas.openxmlformats.org/officeDocument/2006/relationships/hyperlink" Target="https://docs.google.com/spreadsheets/d/1lgppSv7HvU4ExH8TJarE23o8-Y-q9oLV0TaBPBMKaiE/edit" TargetMode="External" Id="rId25" /><Relationship Type="http://schemas.openxmlformats.org/officeDocument/2006/relationships/hyperlink" Target="https://www.trafficsign.com/products/15417/no-parking-except-while-charging-sign-r7-113" TargetMode="External"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hyperlink" Target="https://www.boston.gov/sites/default/files/file/2020/03/EV%20Readiness%20Policy%20For%20New%20Developments%20%287%29.pdf" TargetMode="External" Id="rId16" /><Relationship Type="http://schemas.openxmlformats.org/officeDocument/2006/relationships/hyperlink" Target="https://codes.iccsafe.org/content/VTRES2020P1" TargetMode="External" Id="rId20" /><Relationship Type="http://schemas.openxmlformats.org/officeDocument/2006/relationships/hyperlink" Target="https://www.mass.gov/doc/approval-of-massachusetts-electric-vehicle-infrastructure-deployment-plan/download"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docs.google.com/spreadsheets/d/1lgppSv7HvU4ExH8TJarE23o8-Y-q9oLV0TaBPBMKaiE/edit" TargetMode="External" Id="rId24" /><Relationship Type="http://schemas.openxmlformats.org/officeDocument/2006/relationships/hyperlink" Target="https://mutcd.fhwa.dot.gov/index.htm" TargetMode="External" Id="rId32" /><Relationship Type="http://schemas.openxmlformats.org/officeDocument/2006/relationships/header" Target="header2.xml" Id="rId37" /><Relationship Type="http://schemas.openxmlformats.org/officeDocument/2006/relationships/theme" Target="theme/theme1.xml" Id="rId40" /><Relationship Type="http://schemas.openxmlformats.org/officeDocument/2006/relationships/numbering" Target="numbering.xml" Id="rId5" /><Relationship Type="http://schemas.openxmlformats.org/officeDocument/2006/relationships/hyperlink" Target="https://www.mass.gov/doc/commercial-and-other-stretch-energy-code-and-specialized-opt-in-code-language-redline/download" TargetMode="External" Id="rId15" /><Relationship Type="http://schemas.openxmlformats.org/officeDocument/2006/relationships/hyperlink" Target="https://www.swenergy.org/transportation/electric-vehicles/building-codes" TargetMode="External" Id="rId23" /><Relationship Type="http://schemas.openxmlformats.org/officeDocument/2006/relationships/hyperlink" Target="https://www.mass.gov/doc/massdot-nevi-plan/download" TargetMode="External" Id="rId28" /><Relationship Type="http://schemas.openxmlformats.org/officeDocument/2006/relationships/footer" Target="footer1.xml" Id="rId36" /><Relationship Type="http://schemas.openxmlformats.org/officeDocument/2006/relationships/endnotes" Target="endnotes.xml" Id="rId10" /><Relationship Type="http://schemas.openxmlformats.org/officeDocument/2006/relationships/hyperlink" Target="https://publicservice.vermont.gov/sites/dps/files/documents/CBES%202023%20full-text%20redline%20incorporating%20proposed%20amendments%209232022.pdf" TargetMode="External" Id="rId19" /><Relationship Type="http://schemas.openxmlformats.org/officeDocument/2006/relationships/hyperlink" Target="https://afdc.energy.gov/fuels/electricity_charging_station_signage.html"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mass.gov/doc/residential-low-rise-stretch-energy-code-and-specialized-opt-in-code-language-redline/download" TargetMode="External" Id="rId14" /><Relationship Type="http://schemas.openxmlformats.org/officeDocument/2006/relationships/hyperlink" Target="https://www.sustainablejersey.com/fileadmin/media/Actions_and_Certification/Actions/Make_Your_Town_EV_Friendly/Guidance_for_Creating_EV_Friendly_Ordinance_V.1_April_2017__1_.pdf" TargetMode="External" Id="rId22" /><Relationship Type="http://schemas.openxmlformats.org/officeDocument/2006/relationships/hyperlink" Target="https://www.energycodes.gov/sites/default/files/2021-07/TechBrief_EV_Charging_July2021.pdf" TargetMode="External" Id="rId27" /><Relationship Type="http://schemas.openxmlformats.org/officeDocument/2006/relationships/hyperlink" Target="https://www.access-board.gov/tad/ev/" TargetMode="External" Id="rId30" /><Relationship Type="http://schemas.openxmlformats.org/officeDocument/2006/relationships/header" Target="header1.xml" Id="rId35" /><Relationship Type="http://schemas.openxmlformats.org/officeDocument/2006/relationships/webSettings" Target="webSettings.xml" Id="rId8" /><Relationship Type="http://schemas.openxmlformats.org/officeDocument/2006/relationships/customXml" Target="../customXml/item3.xml" Id="rId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8" Type="http://schemas.openxmlformats.org/officeDocument/2006/relationships/hyperlink" Target="https://www.fema.gov/glossary/special-flood-hazard-area-sfha" TargetMode="External"/><Relationship Id="rId3" Type="http://schemas.openxmlformats.org/officeDocument/2006/relationships/hyperlink" Target="https://www.swenergy.org/transportation/electric-vehicles/building-codes" TargetMode="External"/><Relationship Id="rId7" Type="http://schemas.openxmlformats.org/officeDocument/2006/relationships/hyperlink" Target="https://codes.iccsafe.org/content/IBC2015P4/chapter-3-use-and-occupancy-classification" TargetMode="External"/><Relationship Id="rId2" Type="http://schemas.openxmlformats.org/officeDocument/2006/relationships/hyperlink" Target="file:///C://Users/bpicariello/Downloads/Attachment%20A-cost%20analysis.pdf" TargetMode="External"/><Relationship Id="rId1" Type="http://schemas.openxmlformats.org/officeDocument/2006/relationships/hyperlink" Target="https://www.capecodcommission.org/resource-library/file/?url=/dept/commission/team/climate/Shared%20Documents/Climate%20Action%20Plan/Cape-Cod-Climate-Action-Plan.pdf" TargetMode="External"/><Relationship Id="rId6" Type="http://schemas.openxmlformats.org/officeDocument/2006/relationships/hyperlink" Target="https://www.mass.gov/doc/commercial-and-other-stretch-energy-code-and-specialized-opt-in-code-language-redline/download" TargetMode="External"/><Relationship Id="rId5" Type="http://schemas.openxmlformats.org/officeDocument/2006/relationships/hyperlink" Target="https://nhts.ornl.gov/" TargetMode="External"/><Relationship Id="rId4" Type="http://schemas.openxmlformats.org/officeDocument/2006/relationships/hyperlink" Target="https://www.forbes.com/wheels/news/jd-power-study-electric-vehicle-owners-prefer-dedicated-home-charging-st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velpc\Desktop\DANI%20WORK%20FROM%20HOME\Branding%20and%20Templates%202020%20Desktop\Templates\Meeting%20Minutes%20Template%20_General.dotx" TargetMode="External"/></Relationships>
</file>

<file path=word/theme/theme1.xml><?xml version="1.0" encoding="utf-8"?>
<a:theme xmlns:a="http://schemas.openxmlformats.org/drawingml/2006/main" name="Office Theme">
  <a:themeElements>
    <a:clrScheme name="New CCC Colors">
      <a:dk1>
        <a:sysClr val="windowText" lastClr="000000"/>
      </a:dk1>
      <a:lt1>
        <a:sysClr val="window" lastClr="FFFFFF"/>
      </a:lt1>
      <a:dk2>
        <a:srgbClr val="193446"/>
      </a:dk2>
      <a:lt2>
        <a:srgbClr val="53A8AC"/>
      </a:lt2>
      <a:accent1>
        <a:srgbClr val="3B778E"/>
      </a:accent1>
      <a:accent2>
        <a:srgbClr val="FDB517"/>
      </a:accent2>
      <a:accent3>
        <a:srgbClr val="C9DEB5"/>
      </a:accent3>
      <a:accent4>
        <a:srgbClr val="DADADA"/>
      </a:accent4>
      <a:accent5>
        <a:srgbClr val="ED8A36"/>
      </a:accent5>
      <a:accent6>
        <a:srgbClr val="B62959"/>
      </a:accent6>
      <a:hlink>
        <a:srgbClr val="4C5C68"/>
      </a:hlink>
      <a:folHlink>
        <a:srgbClr val="3EBBF0"/>
      </a:folHlink>
    </a:clrScheme>
    <a:fontScheme name="Custom 7">
      <a:majorFont>
        <a:latin typeface="Montserrat"/>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360416FED9244BAEBFB649DA1936D5" ma:contentTypeVersion="46" ma:contentTypeDescription="Create a new document." ma:contentTypeScope="" ma:versionID="4c6b111fc213e15298a908a4e33241e9">
  <xsd:schema xmlns:xsd="http://www.w3.org/2001/XMLSchema" xmlns:xs="http://www.w3.org/2001/XMLSchema" xmlns:p="http://schemas.microsoft.com/office/2006/metadata/properties" xmlns:ns1="http://schemas.microsoft.com/sharepoint/v3" xmlns:ns2="5d982bf3-a48c-4351-8fdb-12b10060851e" xmlns:ns3="9be3f55f-8098-485e-a615-a10e4181e135" xmlns:ns4="b8cce874-08f6-43f6-90b4-1d37a1c86b85" targetNamespace="http://schemas.microsoft.com/office/2006/metadata/properties" ma:root="true" ma:fieldsID="629ae5f98796a3d5f9652c1d5113c75d" ns1:_="" ns2:_="" ns3:_="" ns4:_="">
    <xsd:import namespace="http://schemas.microsoft.com/sharepoint/v3"/>
    <xsd:import namespace="5d982bf3-a48c-4351-8fdb-12b10060851e"/>
    <xsd:import namespace="9be3f55f-8098-485e-a615-a10e4181e135"/>
    <xsd:import namespace="b8cce874-08f6-43f6-90b4-1d37a1c86b85"/>
    <xsd:element name="properties">
      <xsd:complexType>
        <xsd:sequence>
          <xsd:element name="documentManagement">
            <xsd:complexType>
              <xsd:all>
                <xsd:element ref="ns2:n182eaacf38a4fceb355f0d6962e9deb" minOccurs="0"/>
                <xsd:element ref="ns3:TaxCatchAll" minOccurs="0"/>
                <xsd:element ref="ns2:pd51286b66fa4a86843a97fa5c0abf9b" minOccurs="0"/>
                <xsd:element ref="ns2:ned4871b43f142479a1da9e4dec3ead3" minOccurs="0"/>
                <xsd:element ref="ns2:hbee406da43d444c8b478c1dea8b31b4" minOccurs="0"/>
                <xsd:element ref="ns2:aeec274ad21c4909ab5fb112d68909fb" minOccurs="0"/>
                <xsd:element ref="ns2:k20b5b353c2d4a59a44170cce5889c20" minOccurs="0"/>
                <xsd:element ref="ns2:fe949326ff6d4687acbf295dda149b37" minOccurs="0"/>
                <xsd:element ref="ns2:MeetingTime" minOccurs="0"/>
                <xsd:element ref="ns2:l91667a489774ae597c235a47c1dd5a1" minOccurs="0"/>
                <xsd:element ref="ns2:mc1af4c238594e12bbb9206d9aa9c5d3" minOccurs="0"/>
                <xsd:element ref="ns2:a7e4010d7db74f61a5af14041442919b" minOccurs="0"/>
                <xsd:element ref="ns2:ib7c164d558f4f8fbf80e7a2d2aa7fd8" minOccurs="0"/>
                <xsd:element ref="ns2:ia4fe8ee8d364c9f8d8b37e8c9aeedb6" minOccurs="0"/>
                <xsd:element ref="ns2:k1250adc1ff244fa903739753c5e73ff" minOccurs="0"/>
                <xsd:element ref="ns2:j71a73172208464eb388c685d7fd5904" minOccurs="0"/>
                <xsd:element ref="ns1:_ip_UnifiedCompliancePolicyProperties" minOccurs="0"/>
                <xsd:element ref="ns1:_ip_UnifiedCompliancePolicyUIAction"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3:SharedWithUsers" minOccurs="0"/>
                <xsd:element ref="ns3:SharedWithDetail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8" nillable="true" ma:displayName="Unified Compliance Policy Properties" ma:hidden="true" ma:internalName="_ip_UnifiedCompliancePolicyProperties">
      <xsd:simpleType>
        <xsd:restriction base="dms:Note"/>
      </xsd:simpleType>
    </xsd:element>
    <xsd:element name="_ip_UnifiedCompliancePolicyUIAction" ma:index="3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82bf3-a48c-4351-8fdb-12b10060851e" elementFormDefault="qualified">
    <xsd:import namespace="http://schemas.microsoft.com/office/2006/documentManagement/types"/>
    <xsd:import namespace="http://schemas.microsoft.com/office/infopath/2007/PartnerControls"/>
    <xsd:element name="n182eaacf38a4fceb355f0d6962e9deb" ma:index="9" nillable="true" ma:taxonomy="true" ma:internalName="n182eaacf38a4fceb355f0d6962e9deb" ma:taxonomyFieldName="Agency" ma:displayName="Agency" ma:default="" ma:fieldId="{7182eaac-f38a-4fce-b355-f0d6962e9deb}" ma:taxonomyMulti="true" ma:sspId="cceb9721-df7c-4dbc-8f19-77f5dc396abe" ma:termSetId="a014325f-77f6-4581-a969-155462e883c4" ma:anchorId="00000000-0000-0000-0000-000000000000" ma:open="false" ma:isKeyword="false">
      <xsd:complexType>
        <xsd:sequence>
          <xsd:element ref="pc:Terms" minOccurs="0" maxOccurs="1"/>
        </xsd:sequence>
      </xsd:complexType>
    </xsd:element>
    <xsd:element name="pd51286b66fa4a86843a97fa5c0abf9b" ma:index="12" nillable="true" ma:taxonomy="true" ma:internalName="pd51286b66fa4a86843a97fa5c0abf9b" ma:taxonomyFieldName="CCC_x0020_Keywords" ma:displayName="CCC Keywords" ma:default="" ma:fieldId="{9d51286b-66fa-4a86-843a-97fa5c0abf9b}" ma:taxonomyMulti="true" ma:sspId="cceb9721-df7c-4dbc-8f19-77f5dc396abe" ma:termSetId="237bb7e9-aef9-4b25-8f13-0a1384048748" ma:anchorId="00000000-0000-0000-0000-000000000000" ma:open="true" ma:isKeyword="false">
      <xsd:complexType>
        <xsd:sequence>
          <xsd:element ref="pc:Terms" minOccurs="0" maxOccurs="1"/>
        </xsd:sequence>
      </xsd:complexType>
    </xsd:element>
    <xsd:element name="ned4871b43f142479a1da9e4dec3ead3" ma:index="14" nillable="true" ma:taxonomy="true" ma:internalName="ned4871b43f142479a1da9e4dec3ead3" ma:taxonomyFieldName="CCC_x0020_Plans" ma:displayName="CCC Plans" ma:default="" ma:fieldId="{7ed4871b-43f1-4247-9a1d-a9e4dec3ead3}" ma:sspId="cceb9721-df7c-4dbc-8f19-77f5dc396abe" ma:termSetId="e8cc82b8-12c0-455f-a3a2-81036c43199c" ma:anchorId="00000000-0000-0000-0000-000000000000" ma:open="false" ma:isKeyword="false">
      <xsd:complexType>
        <xsd:sequence>
          <xsd:element ref="pc:Terms" minOccurs="0" maxOccurs="1"/>
        </xsd:sequence>
      </xsd:complexType>
    </xsd:element>
    <xsd:element name="hbee406da43d444c8b478c1dea8b31b4" ma:index="16" nillable="true" ma:taxonomy="true" ma:internalName="hbee406da43d444c8b478c1dea8b31b4" ma:taxonomyFieldName="CCC_x0020_Program_x0020_Areas" ma:displayName="CCC Program Areas" ma:default="" ma:fieldId="{1bee406d-a43d-444c-8b47-8c1dea8b31b4}" ma:taxonomyMulti="true" ma:sspId="cceb9721-df7c-4dbc-8f19-77f5dc396abe" ma:termSetId="bbb3c8d7-3f85-4b92-b602-0a181370541a" ma:anchorId="00000000-0000-0000-0000-000000000000" ma:open="false" ma:isKeyword="false">
      <xsd:complexType>
        <xsd:sequence>
          <xsd:element ref="pc:Terms" minOccurs="0" maxOccurs="1"/>
        </xsd:sequence>
      </xsd:complexType>
    </xsd:element>
    <xsd:element name="aeec274ad21c4909ab5fb112d68909fb" ma:index="18" nillable="true" ma:taxonomy="true" ma:internalName="aeec274ad21c4909ab5fb112d68909fb" ma:taxonomyFieldName="Document_x0020_Status" ma:displayName="Document Status" ma:default="" ma:fieldId="{aeec274a-d21c-4909-ab5f-b112d68909fb}" ma:sspId="cceb9721-df7c-4dbc-8f19-77f5dc396abe" ma:termSetId="4ec54bb5-14a5-4b45-bcdb-6e98c6089fdf" ma:anchorId="00000000-0000-0000-0000-000000000000" ma:open="false" ma:isKeyword="false">
      <xsd:complexType>
        <xsd:sequence>
          <xsd:element ref="pc:Terms" minOccurs="0" maxOccurs="1"/>
        </xsd:sequence>
      </xsd:complexType>
    </xsd:element>
    <xsd:element name="k20b5b353c2d4a59a44170cce5889c20" ma:index="20" nillable="true" ma:taxonomy="true" ma:internalName="k20b5b353c2d4a59a44170cce5889c20" ma:taxonomyFieldName="CCC_x0020_Document_x0020_Type" ma:displayName="Document Type" ma:default="" ma:fieldId="{420b5b35-3c2d-4a59-a441-70cce5889c20}" ma:taxonomyMulti="true" ma:sspId="cceb9721-df7c-4dbc-8f19-77f5dc396abe" ma:termSetId="2f5adcc4-b536-4831-8487-2b04e936f6a9" ma:anchorId="00000000-0000-0000-0000-000000000000" ma:open="false" ma:isKeyword="false">
      <xsd:complexType>
        <xsd:sequence>
          <xsd:element ref="pc:Terms" minOccurs="0" maxOccurs="1"/>
        </xsd:sequence>
      </xsd:complexType>
    </xsd:element>
    <xsd:element name="fe949326ff6d4687acbf295dda149b37" ma:index="22" nillable="true" ma:taxonomy="true" ma:internalName="fe949326ff6d4687acbf295dda149b37" ma:taxonomyFieldName="SiteDomains" ma:displayName="Domains" ma:default="" ma:fieldId="{fe949326-ff6d-4687-acbf-295dda149b37}" ma:sspId="cceb9721-df7c-4dbc-8f19-77f5dc396abe" ma:termSetId="f3a86052-10d6-4365-9271-fd817bb07314" ma:anchorId="00000000-0000-0000-0000-000000000000" ma:open="false" ma:isKeyword="false">
      <xsd:complexType>
        <xsd:sequence>
          <xsd:element ref="pc:Terms" minOccurs="0" maxOccurs="1"/>
        </xsd:sequence>
      </xsd:complexType>
    </xsd:element>
    <xsd:element name="MeetingTime" ma:index="23" nillable="true" ma:displayName="MeetingTime" ma:format="DateTime" ma:internalName="MeetingTime">
      <xsd:simpleType>
        <xsd:restriction base="dms:DateTime"/>
      </xsd:simpleType>
    </xsd:element>
    <xsd:element name="l91667a489774ae597c235a47c1dd5a1" ma:index="25" nillable="true" ma:taxonomy="true" ma:internalName="l91667a489774ae597c235a47c1dd5a1" ma:taxonomyFieldName="Ponds" ma:displayName="Ponds" ma:default="" ma:fieldId="{591667a4-8977-4ae5-97c2-35a47c1dd5a1}" ma:sspId="cceb9721-df7c-4dbc-8f19-77f5dc396abe" ma:termSetId="385aa2a5-0b18-417f-9956-c266871a2417" ma:anchorId="00000000-0000-0000-0000-000000000000" ma:open="false" ma:isKeyword="false">
      <xsd:complexType>
        <xsd:sequence>
          <xsd:element ref="pc:Terms" minOccurs="0" maxOccurs="1"/>
        </xsd:sequence>
      </xsd:complexType>
    </xsd:element>
    <xsd:element name="mc1af4c238594e12bbb9206d9aa9c5d3" ma:index="27" nillable="true" ma:taxonomy="true" ma:internalName="mc1af4c238594e12bbb9206d9aa9c5d3" ma:taxonomyFieldName="Project_x0020_ID" ma:displayName="Project ID" ma:default="" ma:fieldId="{6c1af4c2-3859-4e12-bbb9-206d9aa9c5d3}" ma:taxonomyMulti="true" ma:sspId="cceb9721-df7c-4dbc-8f19-77f5dc396abe" ma:termSetId="a246038d-ca75-49fa-bd90-277acabb185f" ma:anchorId="00000000-0000-0000-0000-000000000000" ma:open="true" ma:isKeyword="false">
      <xsd:complexType>
        <xsd:sequence>
          <xsd:element ref="pc:Terms" minOccurs="0" maxOccurs="1"/>
        </xsd:sequence>
      </xsd:complexType>
    </xsd:element>
    <xsd:element name="a7e4010d7db74f61a5af14041442919b" ma:index="29" nillable="true" ma:taxonomy="true" ma:internalName="a7e4010d7db74f61a5af14041442919b" ma:taxonomyFieldName="Regulatory_x0020_Review_x0020_Types" ma:displayName="Regulatory Review Types" ma:default="" ma:fieldId="{a7e4010d-7db7-4f61-a5af-14041442919b}" ma:sspId="cceb9721-df7c-4dbc-8f19-77f5dc396abe" ma:termSetId="e757629f-12ed-4ccb-be55-a034738c244c" ma:anchorId="00000000-0000-0000-0000-000000000000" ma:open="false" ma:isKeyword="false">
      <xsd:complexType>
        <xsd:sequence>
          <xsd:element ref="pc:Terms" minOccurs="0" maxOccurs="1"/>
        </xsd:sequence>
      </xsd:complexType>
    </xsd:element>
    <xsd:element name="ib7c164d558f4f8fbf80e7a2d2aa7fd8" ma:index="31" nillable="true" ma:taxonomy="true" ma:internalName="ib7c164d558f4f8fbf80e7a2d2aa7fd8" ma:taxonomyFieldName="Roadways" ma:displayName="Roadways" ma:default="" ma:fieldId="{2b7c164d-558f-4f8f-bf80-e7a2d2aa7fd8}" ma:sspId="cceb9721-df7c-4dbc-8f19-77f5dc396abe" ma:termSetId="7cd626af-cc52-406a-afbf-52a94ef68fdc" ma:anchorId="00000000-0000-0000-0000-000000000000" ma:open="false" ma:isKeyword="false">
      <xsd:complexType>
        <xsd:sequence>
          <xsd:element ref="pc:Terms" minOccurs="0" maxOccurs="1"/>
        </xsd:sequence>
      </xsd:complexType>
    </xsd:element>
    <xsd:element name="ia4fe8ee8d364c9f8d8b37e8c9aeedb6" ma:index="33" nillable="true" ma:taxonomy="true" ma:internalName="ia4fe8ee8d364c9f8d8b37e8c9aeedb6" ma:taxonomyFieldName="Town_x0020_or_x0020_Village" ma:displayName="Town or Village" ma:default="" ma:fieldId="{2a4fe8ee-8d36-4c9f-8d8b-37e8c9aeedb6}" ma:taxonomyMulti="true" ma:sspId="cceb9721-df7c-4dbc-8f19-77f5dc396abe" ma:termSetId="64630a1b-9342-481d-953c-3caea2ee54e7" ma:anchorId="00000000-0000-0000-0000-000000000000" ma:open="false" ma:isKeyword="false">
      <xsd:complexType>
        <xsd:sequence>
          <xsd:element ref="pc:Terms" minOccurs="0" maxOccurs="1"/>
        </xsd:sequence>
      </xsd:complexType>
    </xsd:element>
    <xsd:element name="k1250adc1ff244fa903739753c5e73ff" ma:index="35" nillable="true" ma:taxonomy="true" ma:internalName="k1250adc1ff244fa903739753c5e73ff" ma:taxonomyFieldName="WebResources" ma:displayName="WebResources" ma:default="" ma:fieldId="{41250adc-1ff2-44fa-9037-39753c5e73ff}" ma:sspId="cceb9721-df7c-4dbc-8f19-77f5dc396abe" ma:termSetId="3a3b1e03-2606-4712-baee-4715bbe485c1" ma:anchorId="00000000-0000-0000-0000-000000000000" ma:open="false" ma:isKeyword="false">
      <xsd:complexType>
        <xsd:sequence>
          <xsd:element ref="pc:Terms" minOccurs="0" maxOccurs="1"/>
        </xsd:sequence>
      </xsd:complexType>
    </xsd:element>
    <xsd:element name="j71a73172208464eb388c685d7fd5904" ma:index="37" nillable="true" ma:taxonomy="true" ma:internalName="j71a73172208464eb388c685d7fd5904" ma:taxonomyFieldName="Year" ma:displayName="Year" ma:default="" ma:fieldId="{371a7317-2208-464e-b388-c685d7fd5904}" ma:sspId="cceb9721-df7c-4dbc-8f19-77f5dc396abe" ma:termSetId="038d3ef1-10e1-46c9-9eee-9c06d74a457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e3f55f-8098-485e-a615-a10e4181e135"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768a9f4-479c-4e6f-93d4-4292895fbc04}" ma:internalName="TaxCatchAll" ma:showField="CatchAllData" ma:web="9be3f55f-8098-485e-a615-a10e4181e135">
      <xsd:complexType>
        <xsd:complexContent>
          <xsd:extension base="dms:MultiChoiceLookup">
            <xsd:sequence>
              <xsd:element name="Value" type="dms:Lookup" maxOccurs="unbounded" minOccurs="0" nillable="true"/>
            </xsd:sequence>
          </xsd:extension>
        </xsd:complexContent>
      </xsd:complexType>
    </xsd:element>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cce874-08f6-43f6-90b4-1d37a1c86b85"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MediaServiceAutoTags" ma:index="42" nillable="true" ma:displayName="Tags" ma:internalName="MediaServiceAutoTags"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DateTaken" ma:index="46" nillable="true" ma:displayName="MediaServiceDateTaken" ma:hidden="true" ma:internalName="MediaServiceDateTaken" ma:readOnly="true">
      <xsd:simpleType>
        <xsd:restriction base="dms:Text"/>
      </xsd:simpleType>
    </xsd:element>
    <xsd:element name="MediaServiceLocation" ma:index="47" nillable="true" ma:displayName="Location" ma:internalName="MediaServiceLocation" ma:readOnly="true">
      <xsd:simpleType>
        <xsd:restriction base="dms:Text"/>
      </xsd:simpleType>
    </xsd:element>
    <xsd:element name="MediaLengthInSeconds" ma:index="50"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ceb9721-df7c-4dbc-8f19-77f5dc396a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c1af4c238594e12bbb9206d9aa9c5d3 xmlns="5d982bf3-a48c-4351-8fdb-12b10060851e">
      <Terms xmlns="http://schemas.microsoft.com/office/infopath/2007/PartnerControls">
        <TermInfo xmlns="http://schemas.microsoft.com/office/infopath/2007/PartnerControls">
          <TermName xmlns="http://schemas.microsoft.com/office/infopath/2007/PartnerControls">climate-action-plan</TermName>
          <TermId xmlns="http://schemas.microsoft.com/office/infopath/2007/PartnerControls">fcf2599e-19c5-4fe0-9979-ec0738a2bcc1</TermId>
        </TermInfo>
      </Terms>
    </mc1af4c238594e12bbb9206d9aa9c5d3>
    <k1250adc1ff244fa903739753c5e73ff xmlns="5d982bf3-a48c-4351-8fdb-12b10060851e">
      <Terms xmlns="http://schemas.microsoft.com/office/infopath/2007/PartnerControls">
        <TermInfo xmlns="http://schemas.microsoft.com/office/infopath/2007/PartnerControls">
          <TermName xmlns="http://schemas.microsoft.com/office/infopath/2007/PartnerControls">web</TermName>
          <TermId xmlns="http://schemas.microsoft.com/office/infopath/2007/PartnerControls">9932c02a-dfc7-4cbe-ae78-3976b987aa6a</TermId>
        </TermInfo>
      </Terms>
    </k1250adc1ff244fa903739753c5e73ff>
    <TaxCatchAll xmlns="9be3f55f-8098-485e-a615-a10e4181e135">
      <Value>1061</Value>
      <Value>101</Value>
      <Value>105</Value>
      <Value>1067</Value>
      <Value>966</Value>
    </TaxCatchAll>
    <MeetingTime xmlns="5d982bf3-a48c-4351-8fdb-12b10060851e" xsi:nil="true"/>
    <ia4fe8ee8d364c9f8d8b37e8c9aeedb6 xmlns="5d982bf3-a48c-4351-8fdb-12b10060851e">
      <Terms xmlns="http://schemas.microsoft.com/office/infopath/2007/PartnerControls">
        <TermInfo xmlns="http://schemas.microsoft.com/office/infopath/2007/PartnerControls">
          <TermName xmlns="http://schemas.microsoft.com/office/infopath/2007/PartnerControls">Regional</TermName>
          <TermId xmlns="http://schemas.microsoft.com/office/infopath/2007/PartnerControls">e3e47c38-dd51-4b73-9688-3ca508d72557</TermId>
        </TermInfo>
      </Terms>
    </ia4fe8ee8d364c9f8d8b37e8c9aeedb6>
    <fe949326ff6d4687acbf295dda149b37 xmlns="5d982bf3-a48c-4351-8fdb-12b10060851e">
      <Terms xmlns="http://schemas.microsoft.com/office/infopath/2007/PartnerControls"/>
    </fe949326ff6d4687acbf295dda149b37>
    <a7e4010d7db74f61a5af14041442919b xmlns="5d982bf3-a48c-4351-8fdb-12b10060851e">
      <Terms xmlns="http://schemas.microsoft.com/office/infopath/2007/PartnerControls"/>
    </a7e4010d7db74f61a5af14041442919b>
    <aeec274ad21c4909ab5fb112d68909fb xmlns="5d982bf3-a48c-4351-8fdb-12b10060851e">
      <Terms xmlns="http://schemas.microsoft.com/office/infopath/2007/PartnerControls"/>
    </aeec274ad21c4909ab5fb112d68909fb>
    <ned4871b43f142479a1da9e4dec3ead3 xmlns="5d982bf3-a48c-4351-8fdb-12b10060851e">
      <Terms xmlns="http://schemas.microsoft.com/office/infopath/2007/PartnerControls"/>
    </ned4871b43f142479a1da9e4dec3ead3>
    <k20b5b353c2d4a59a44170cce5889c20 xmlns="5d982bf3-a48c-4351-8fdb-12b10060851e">
      <Terms xmlns="http://schemas.microsoft.com/office/infopath/2007/PartnerControls">
        <TermInfo xmlns="http://schemas.microsoft.com/office/infopath/2007/PartnerControls">
          <TermName xmlns="http://schemas.microsoft.com/office/infopath/2007/PartnerControls">Bylaw</TermName>
          <TermId xmlns="http://schemas.microsoft.com/office/infopath/2007/PartnerControls">ea90617b-dbe7-4569-87de-ed87ab0420af</TermId>
        </TermInfo>
      </Terms>
    </k20b5b353c2d4a59a44170cce5889c20>
    <pd51286b66fa4a86843a97fa5c0abf9b xmlns="5d982bf3-a48c-4351-8fdb-12b10060851e">
      <Terms xmlns="http://schemas.microsoft.com/office/infopath/2007/PartnerControls"/>
    </pd51286b66fa4a86843a97fa5c0abf9b>
    <lcf76f155ced4ddcb4097134ff3c332f xmlns="b8cce874-08f6-43f6-90b4-1d37a1c86b85">
      <Terms xmlns="http://schemas.microsoft.com/office/infopath/2007/PartnerControls"/>
    </lcf76f155ced4ddcb4097134ff3c332f>
    <n182eaacf38a4fceb355f0d6962e9deb xmlns="5d982bf3-a48c-4351-8fdb-12b10060851e">
      <Terms xmlns="http://schemas.microsoft.com/office/infopath/2007/PartnerControls"/>
    </n182eaacf38a4fceb355f0d6962e9deb>
    <hbee406da43d444c8b478c1dea8b31b4 xmlns="5d982bf3-a48c-4351-8fdb-12b10060851e">
      <Terms xmlns="http://schemas.microsoft.com/office/infopath/2007/PartnerControls"/>
    </hbee406da43d444c8b478c1dea8b31b4>
    <_ip_UnifiedCompliancePolicyUIAction xmlns="http://schemas.microsoft.com/sharepoint/v3" xsi:nil="true"/>
    <l91667a489774ae597c235a47c1dd5a1 xmlns="5d982bf3-a48c-4351-8fdb-12b10060851e">
      <Terms xmlns="http://schemas.microsoft.com/office/infopath/2007/PartnerControls"/>
    </l91667a489774ae597c235a47c1dd5a1>
    <j71a73172208464eb388c685d7fd5904 xmlns="5d982bf3-a48c-4351-8fdb-12b10060851e">
      <Terms xmlns="http://schemas.microsoft.com/office/infopath/2007/PartnerControls">
        <TermInfo xmlns="http://schemas.microsoft.com/office/infopath/2007/PartnerControls">
          <TermName xmlns="http://schemas.microsoft.com/office/infopath/2007/PartnerControls">2022</TermName>
          <TermId xmlns="http://schemas.microsoft.com/office/infopath/2007/PartnerControls">06280778-498d-48f0-a347-cef3ee836ead</TermId>
        </TermInfo>
      </Terms>
    </j71a73172208464eb388c685d7fd5904>
    <_ip_UnifiedCompliancePolicyProperties xmlns="http://schemas.microsoft.com/sharepoint/v3" xsi:nil="true"/>
    <ib7c164d558f4f8fbf80e7a2d2aa7fd8 xmlns="5d982bf3-a48c-4351-8fdb-12b10060851e">
      <Terms xmlns="http://schemas.microsoft.com/office/infopath/2007/PartnerControls"/>
    </ib7c164d558f4f8fbf80e7a2d2aa7fd8>
    <SharedWithUsers xmlns="9be3f55f-8098-485e-a615-a10e4181e135">
      <UserInfo>
        <DisplayName>Michele White</DisplayName>
        <AccountId>184</AccountId>
        <AccountType/>
      </UserInfo>
      <UserInfo>
        <DisplayName>Steven Tupper</DisplayName>
        <AccountId>187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2EF35-CAED-475D-A819-4F4D415F3482}"/>
</file>

<file path=customXml/itemProps2.xml><?xml version="1.0" encoding="utf-8"?>
<ds:datastoreItem xmlns:ds="http://schemas.openxmlformats.org/officeDocument/2006/customXml" ds:itemID="{B1697DA0-1508-4C4A-8F39-2D6BAEE13174}">
  <ds:schemaRefs>
    <ds:schemaRef ds:uri="http://schemas.microsoft.com/sharepoint/v3/contenttype/forms"/>
  </ds:schemaRefs>
</ds:datastoreItem>
</file>

<file path=customXml/itemProps3.xml><?xml version="1.0" encoding="utf-8"?>
<ds:datastoreItem xmlns:ds="http://schemas.openxmlformats.org/officeDocument/2006/customXml" ds:itemID="{F012AC96-23E1-4DBD-B5BA-D23ADD2CEA2F}">
  <ds:schemaRefs>
    <ds:schemaRef ds:uri="http://schemas.microsoft.com/sharepoint/v3"/>
    <ds:schemaRef ds:uri="http://purl.org/dc/dcmitype/"/>
    <ds:schemaRef ds:uri="http://purl.org/dc/elements/1.1/"/>
    <ds:schemaRef ds:uri="5d982bf3-a48c-4351-8fdb-12b10060851e"/>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b8cce874-08f6-43f6-90b4-1d37a1c86b85"/>
    <ds:schemaRef ds:uri="9be3f55f-8098-485e-a615-a10e4181e135"/>
    <ds:schemaRef ds:uri="http://schemas.microsoft.com/office/2006/metadata/properties"/>
  </ds:schemaRefs>
</ds:datastoreItem>
</file>

<file path=customXml/itemProps4.xml><?xml version="1.0" encoding="utf-8"?>
<ds:datastoreItem xmlns:ds="http://schemas.openxmlformats.org/officeDocument/2006/customXml" ds:itemID="{62E20B8B-8B48-A540-86D8-B2D7353C8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Minutes Template _General</Template>
  <TotalTime>4</TotalTime>
  <Pages>17</Pages>
  <Words>5091</Words>
  <Characters>32369</Characters>
  <DocSecurity>0</DocSecurity>
  <Lines>269</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37386</CharactersWithSpaces>
  <SharedDoc>false</SharedDoc>
  <HLinks>
    <vt:vector size="180" baseType="variant">
      <vt:variant>
        <vt:i4>4456470</vt:i4>
      </vt:variant>
      <vt:variant>
        <vt:i4>72</vt:i4>
      </vt:variant>
      <vt:variant>
        <vt:i4>0</vt:i4>
      </vt:variant>
      <vt:variant>
        <vt:i4>5</vt:i4>
      </vt:variant>
      <vt:variant>
        <vt:lpwstr>https://www.capecodcommission.org/our-work/solar-screening-tool/</vt:lpwstr>
      </vt:variant>
      <vt:variant>
        <vt:lpwstr/>
      </vt:variant>
      <vt:variant>
        <vt:i4>2883705</vt:i4>
      </vt:variant>
      <vt:variant>
        <vt:i4>69</vt:i4>
      </vt:variant>
      <vt:variant>
        <vt:i4>0</vt:i4>
      </vt:variant>
      <vt:variant>
        <vt:i4>5</vt:i4>
      </vt:variant>
      <vt:variant>
        <vt:lpwstr>https://www.trafficsign.com/products/15417/no-parking-except-while-charging-sign-r7-113</vt:lpwstr>
      </vt:variant>
      <vt:variant>
        <vt:lpwstr/>
      </vt:variant>
      <vt:variant>
        <vt:i4>5308498</vt:i4>
      </vt:variant>
      <vt:variant>
        <vt:i4>66</vt:i4>
      </vt:variant>
      <vt:variant>
        <vt:i4>0</vt:i4>
      </vt:variant>
      <vt:variant>
        <vt:i4>5</vt:i4>
      </vt:variant>
      <vt:variant>
        <vt:lpwstr>https://mutcd.fhwa.dot.gov/index.htm</vt:lpwstr>
      </vt:variant>
      <vt:variant>
        <vt:lpwstr/>
      </vt:variant>
      <vt:variant>
        <vt:i4>655420</vt:i4>
      </vt:variant>
      <vt:variant>
        <vt:i4>63</vt:i4>
      </vt:variant>
      <vt:variant>
        <vt:i4>0</vt:i4>
      </vt:variant>
      <vt:variant>
        <vt:i4>5</vt:i4>
      </vt:variant>
      <vt:variant>
        <vt:lpwstr>https://afdc.energy.gov/fuels/electricity_charging_station_signage.html</vt:lpwstr>
      </vt:variant>
      <vt:variant>
        <vt:lpwstr/>
      </vt:variant>
      <vt:variant>
        <vt:i4>1114199</vt:i4>
      </vt:variant>
      <vt:variant>
        <vt:i4>60</vt:i4>
      </vt:variant>
      <vt:variant>
        <vt:i4>0</vt:i4>
      </vt:variant>
      <vt:variant>
        <vt:i4>5</vt:i4>
      </vt:variant>
      <vt:variant>
        <vt:lpwstr>https://www.access-board.gov/tad/ev/</vt:lpwstr>
      </vt:variant>
      <vt:variant>
        <vt:lpwstr/>
      </vt:variant>
      <vt:variant>
        <vt:i4>2162785</vt:i4>
      </vt:variant>
      <vt:variant>
        <vt:i4>57</vt:i4>
      </vt:variant>
      <vt:variant>
        <vt:i4>0</vt:i4>
      </vt:variant>
      <vt:variant>
        <vt:i4>5</vt:i4>
      </vt:variant>
      <vt:variant>
        <vt:lpwstr>https://www.mass.gov/doc/approval-of-massachusetts-electric-vehicle-infrastructure-deployment-plan/download</vt:lpwstr>
      </vt:variant>
      <vt:variant>
        <vt:lpwstr/>
      </vt:variant>
      <vt:variant>
        <vt:i4>7012476</vt:i4>
      </vt:variant>
      <vt:variant>
        <vt:i4>54</vt:i4>
      </vt:variant>
      <vt:variant>
        <vt:i4>0</vt:i4>
      </vt:variant>
      <vt:variant>
        <vt:i4>5</vt:i4>
      </vt:variant>
      <vt:variant>
        <vt:lpwstr>https://www.mass.gov/doc/massdot-nevi-plan/download</vt:lpwstr>
      </vt:variant>
      <vt:variant>
        <vt:lpwstr/>
      </vt:variant>
      <vt:variant>
        <vt:i4>7077966</vt:i4>
      </vt:variant>
      <vt:variant>
        <vt:i4>51</vt:i4>
      </vt:variant>
      <vt:variant>
        <vt:i4>0</vt:i4>
      </vt:variant>
      <vt:variant>
        <vt:i4>5</vt:i4>
      </vt:variant>
      <vt:variant>
        <vt:lpwstr>https://www.energycodes.gov/sites/default/files/2021-07/TechBrief_EV_Charging_July2021.pdf</vt:lpwstr>
      </vt:variant>
      <vt:variant>
        <vt:lpwstr/>
      </vt:variant>
      <vt:variant>
        <vt:i4>7471162</vt:i4>
      </vt:variant>
      <vt:variant>
        <vt:i4>48</vt:i4>
      </vt:variant>
      <vt:variant>
        <vt:i4>0</vt:i4>
      </vt:variant>
      <vt:variant>
        <vt:i4>5</vt:i4>
      </vt:variant>
      <vt:variant>
        <vt:lpwstr>https://www.pvpc.org/sites/default/files/doc-ev-charging-station-plan/guide3215.pdf</vt:lpwstr>
      </vt:variant>
      <vt:variant>
        <vt:lpwstr/>
      </vt:variant>
      <vt:variant>
        <vt:i4>5636098</vt:i4>
      </vt:variant>
      <vt:variant>
        <vt:i4>45</vt:i4>
      </vt:variant>
      <vt:variant>
        <vt:i4>0</vt:i4>
      </vt:variant>
      <vt:variant>
        <vt:i4>5</vt:i4>
      </vt:variant>
      <vt:variant>
        <vt:lpwstr>https://docs.google.com/spreadsheets/d/1lgppSv7HvU4ExH8TJarE23o8-Y-q9oLV0TaBPBMKaiE/edit</vt:lpwstr>
      </vt:variant>
      <vt:variant>
        <vt:lpwstr>gid=27292754</vt:lpwstr>
      </vt:variant>
      <vt:variant>
        <vt:i4>5636098</vt:i4>
      </vt:variant>
      <vt:variant>
        <vt:i4>42</vt:i4>
      </vt:variant>
      <vt:variant>
        <vt:i4>0</vt:i4>
      </vt:variant>
      <vt:variant>
        <vt:i4>5</vt:i4>
      </vt:variant>
      <vt:variant>
        <vt:lpwstr>https://docs.google.com/spreadsheets/d/1lgppSv7HvU4ExH8TJarE23o8-Y-q9oLV0TaBPBMKaiE/edit</vt:lpwstr>
      </vt:variant>
      <vt:variant>
        <vt:lpwstr>gid=27292754</vt:lpwstr>
      </vt:variant>
      <vt:variant>
        <vt:i4>5308506</vt:i4>
      </vt:variant>
      <vt:variant>
        <vt:i4>39</vt:i4>
      </vt:variant>
      <vt:variant>
        <vt:i4>0</vt:i4>
      </vt:variant>
      <vt:variant>
        <vt:i4>5</vt:i4>
      </vt:variant>
      <vt:variant>
        <vt:lpwstr>https://www.swenergy.org/transportation/electric-vehicles/building-codes</vt:lpwstr>
      </vt:variant>
      <vt:variant>
        <vt:lpwstr/>
      </vt:variant>
      <vt:variant>
        <vt:i4>721016</vt:i4>
      </vt:variant>
      <vt:variant>
        <vt:i4>36</vt:i4>
      </vt:variant>
      <vt:variant>
        <vt:i4>0</vt:i4>
      </vt:variant>
      <vt:variant>
        <vt:i4>5</vt:i4>
      </vt:variant>
      <vt:variant>
        <vt:lpwstr>https://www.sustainablejersey.com/fileadmin/media/Actions_and_Certification/Actions/Make_Your_Town_EV_Friendly/Guidance_for_Creating_EV_Friendly_Ordinance_V.1_April_2017__1_.pdf</vt:lpwstr>
      </vt:variant>
      <vt:variant>
        <vt:lpwstr/>
      </vt:variant>
      <vt:variant>
        <vt:i4>4980780</vt:i4>
      </vt:variant>
      <vt:variant>
        <vt:i4>33</vt:i4>
      </vt:variant>
      <vt:variant>
        <vt:i4>0</vt:i4>
      </vt:variant>
      <vt:variant>
        <vt:i4>5</vt:i4>
      </vt:variant>
      <vt:variant>
        <vt:lpwstr>https://publicservice.vermont.gov/sites/dps/files/documents/2020-VT_Residential_Energy_Code_Handbook_v8.pdf</vt:lpwstr>
      </vt:variant>
      <vt:variant>
        <vt:lpwstr/>
      </vt:variant>
      <vt:variant>
        <vt:i4>720985</vt:i4>
      </vt:variant>
      <vt:variant>
        <vt:i4>30</vt:i4>
      </vt:variant>
      <vt:variant>
        <vt:i4>0</vt:i4>
      </vt:variant>
      <vt:variant>
        <vt:i4>5</vt:i4>
      </vt:variant>
      <vt:variant>
        <vt:lpwstr>https://codes.iccsafe.org/content/VTRES2020P1</vt:lpwstr>
      </vt:variant>
      <vt:variant>
        <vt:lpwstr/>
      </vt:variant>
      <vt:variant>
        <vt:i4>26</vt:i4>
      </vt:variant>
      <vt:variant>
        <vt:i4>27</vt:i4>
      </vt:variant>
      <vt:variant>
        <vt:i4>0</vt:i4>
      </vt:variant>
      <vt:variant>
        <vt:i4>5</vt:i4>
      </vt:variant>
      <vt:variant>
        <vt:lpwstr>https://publicservice.vermont.gov/sites/dps/files/documents/CBES 2023 full-text redline incorporating proposed amendments 9232022.pdf</vt:lpwstr>
      </vt:variant>
      <vt:variant>
        <vt:lpwstr/>
      </vt:variant>
      <vt:variant>
        <vt:i4>1638475</vt:i4>
      </vt:variant>
      <vt:variant>
        <vt:i4>24</vt:i4>
      </vt:variant>
      <vt:variant>
        <vt:i4>0</vt:i4>
      </vt:variant>
      <vt:variant>
        <vt:i4>5</vt:i4>
      </vt:variant>
      <vt:variant>
        <vt:lpwstr>https://codes.iccsafe.org/content/CAGBC2022P1</vt:lpwstr>
      </vt:variant>
      <vt:variant>
        <vt:lpwstr/>
      </vt:variant>
      <vt:variant>
        <vt:i4>5898318</vt:i4>
      </vt:variant>
      <vt:variant>
        <vt:i4>21</vt:i4>
      </vt:variant>
      <vt:variant>
        <vt:i4>0</vt:i4>
      </vt:variant>
      <vt:variant>
        <vt:i4>5</vt:i4>
      </vt:variant>
      <vt:variant>
        <vt:lpwstr>https://afdc.energy.gov/fuels/laws/ELEC?state=MA</vt:lpwstr>
      </vt:variant>
      <vt:variant>
        <vt:lpwstr/>
      </vt:variant>
      <vt:variant>
        <vt:i4>6225998</vt:i4>
      </vt:variant>
      <vt:variant>
        <vt:i4>18</vt:i4>
      </vt:variant>
      <vt:variant>
        <vt:i4>0</vt:i4>
      </vt:variant>
      <vt:variant>
        <vt:i4>5</vt:i4>
      </vt:variant>
      <vt:variant>
        <vt:lpwstr>https://www.boston.gov/sites/default/files/file/2020/03/EV Readiness Policy For New Developments %287%29.pdf</vt:lpwstr>
      </vt:variant>
      <vt:variant>
        <vt:lpwstr/>
      </vt:variant>
      <vt:variant>
        <vt:i4>6815854</vt:i4>
      </vt:variant>
      <vt:variant>
        <vt:i4>15</vt:i4>
      </vt:variant>
      <vt:variant>
        <vt:i4>0</vt:i4>
      </vt:variant>
      <vt:variant>
        <vt:i4>5</vt:i4>
      </vt:variant>
      <vt:variant>
        <vt:lpwstr>https://www.mass.gov/doc/commercial-and-other-stretch-energy-code-and-specialized-opt-in-code-language-redline/download</vt:lpwstr>
      </vt:variant>
      <vt:variant>
        <vt:lpwstr/>
      </vt:variant>
      <vt:variant>
        <vt:i4>6946932</vt:i4>
      </vt:variant>
      <vt:variant>
        <vt:i4>12</vt:i4>
      </vt:variant>
      <vt:variant>
        <vt:i4>0</vt:i4>
      </vt:variant>
      <vt:variant>
        <vt:i4>5</vt:i4>
      </vt:variant>
      <vt:variant>
        <vt:lpwstr>https://www.mass.gov/doc/residential-low-rise-stretch-energy-code-and-specialized-opt-in-code-language-redline/download</vt:lpwstr>
      </vt:variant>
      <vt:variant>
        <vt:lpwstr/>
      </vt:variant>
      <vt:variant>
        <vt:i4>8192121</vt:i4>
      </vt:variant>
      <vt:variant>
        <vt:i4>9</vt:i4>
      </vt:variant>
      <vt:variant>
        <vt:i4>0</vt:i4>
      </vt:variant>
      <vt:variant>
        <vt:i4>5</vt:i4>
      </vt:variant>
      <vt:variant>
        <vt:lpwstr>https://www.mass.gov/info-details/stretch-energy-code-development-2022</vt:lpwstr>
      </vt:variant>
      <vt:variant>
        <vt:lpwstr/>
      </vt:variant>
      <vt:variant>
        <vt:i4>4194329</vt:i4>
      </vt:variant>
      <vt:variant>
        <vt:i4>21</vt:i4>
      </vt:variant>
      <vt:variant>
        <vt:i4>0</vt:i4>
      </vt:variant>
      <vt:variant>
        <vt:i4>5</vt:i4>
      </vt:variant>
      <vt:variant>
        <vt:lpwstr>https://www.fema.gov/glossary/special-flood-hazard-area-sfha</vt:lpwstr>
      </vt:variant>
      <vt:variant>
        <vt:lpwstr/>
      </vt:variant>
      <vt:variant>
        <vt:i4>7602227</vt:i4>
      </vt:variant>
      <vt:variant>
        <vt:i4>18</vt:i4>
      </vt:variant>
      <vt:variant>
        <vt:i4>0</vt:i4>
      </vt:variant>
      <vt:variant>
        <vt:i4>5</vt:i4>
      </vt:variant>
      <vt:variant>
        <vt:lpwstr>https://codes.iccsafe.org/content/IBC2015P4/chapter-3-use-and-occupancy-classification</vt:lpwstr>
      </vt:variant>
      <vt:variant>
        <vt:lpwstr/>
      </vt:variant>
      <vt:variant>
        <vt:i4>6815854</vt:i4>
      </vt:variant>
      <vt:variant>
        <vt:i4>15</vt:i4>
      </vt:variant>
      <vt:variant>
        <vt:i4>0</vt:i4>
      </vt:variant>
      <vt:variant>
        <vt:i4>5</vt:i4>
      </vt:variant>
      <vt:variant>
        <vt:lpwstr>https://www.mass.gov/doc/commercial-and-other-stretch-energy-code-and-specialized-opt-in-code-language-redline/download</vt:lpwstr>
      </vt:variant>
      <vt:variant>
        <vt:lpwstr/>
      </vt:variant>
      <vt:variant>
        <vt:i4>6619259</vt:i4>
      </vt:variant>
      <vt:variant>
        <vt:i4>12</vt:i4>
      </vt:variant>
      <vt:variant>
        <vt:i4>0</vt:i4>
      </vt:variant>
      <vt:variant>
        <vt:i4>5</vt:i4>
      </vt:variant>
      <vt:variant>
        <vt:lpwstr>https://nhts.ornl.gov/</vt:lpwstr>
      </vt:variant>
      <vt:variant>
        <vt:lpwstr/>
      </vt:variant>
      <vt:variant>
        <vt:i4>1376266</vt:i4>
      </vt:variant>
      <vt:variant>
        <vt:i4>9</vt:i4>
      </vt:variant>
      <vt:variant>
        <vt:i4>0</vt:i4>
      </vt:variant>
      <vt:variant>
        <vt:i4>5</vt:i4>
      </vt:variant>
      <vt:variant>
        <vt:lpwstr>https://www.forbes.com/wheels/news/jd-power-study-electric-vehicle-owners-prefer-dedicated-home-charging-stations/</vt:lpwstr>
      </vt:variant>
      <vt:variant>
        <vt:lpwstr>:~:text=In%20reality%2C%2080%25%20of%20EV,is%20parked%20during%20the%20workday</vt:lpwstr>
      </vt:variant>
      <vt:variant>
        <vt:i4>5308506</vt:i4>
      </vt:variant>
      <vt:variant>
        <vt:i4>6</vt:i4>
      </vt:variant>
      <vt:variant>
        <vt:i4>0</vt:i4>
      </vt:variant>
      <vt:variant>
        <vt:i4>5</vt:i4>
      </vt:variant>
      <vt:variant>
        <vt:lpwstr>https://www.swenergy.org/transportation/electric-vehicles/building-codes</vt:lpwstr>
      </vt:variant>
      <vt:variant>
        <vt:lpwstr/>
      </vt:variant>
      <vt:variant>
        <vt:i4>852047</vt:i4>
      </vt:variant>
      <vt:variant>
        <vt:i4>3</vt:i4>
      </vt:variant>
      <vt:variant>
        <vt:i4>0</vt:i4>
      </vt:variant>
      <vt:variant>
        <vt:i4>5</vt:i4>
      </vt:variant>
      <vt:variant>
        <vt:lpwstr>C:\Users\bpicariello\Downloads\Attachment A-cost analysis.pdf</vt:lpwstr>
      </vt:variant>
      <vt:variant>
        <vt:lpwstr/>
      </vt:variant>
      <vt:variant>
        <vt:i4>7340150</vt:i4>
      </vt:variant>
      <vt:variant>
        <vt:i4>0</vt:i4>
      </vt:variant>
      <vt:variant>
        <vt:i4>0</vt:i4>
      </vt:variant>
      <vt:variant>
        <vt:i4>5</vt:i4>
      </vt:variant>
      <vt:variant>
        <vt:lpwstr>https://www.capecodcommission.org/resource-library/file/?url=/dept/commission/team/climate/Shared%20Documents/Climate%20Action%20Plan/Cape-Cod-Climate-Action-Plan.pdf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terms:created xsi:type="dcterms:W3CDTF">2022-10-27T20:43:00Z</dcterms:created>
  <dcterms:modified xsi:type="dcterms:W3CDTF">2022-10-27T20:47:00Z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0x010100CA360416FED9244BAEBFB649DA1936D5</vt:lpwstr>
  </property>
  <property fmtid="{D5CDD505-2E9C-101B-9397-08002B2CF9AE}" pid="3" name="Order">
    <vt:r8>9652000</vt:r8>
  </property>
  <property fmtid="{D5CDD505-2E9C-101B-9397-08002B2CF9AE}" pid="4" name="WebResources">
    <vt:lpwstr>101;#web|9932c02a-dfc7-4cbe-ae78-3976b987aa6a</vt:lpwstr>
  </property>
  <property fmtid="{D5CDD505-2E9C-101B-9397-08002B2CF9AE}" pid="5" name="xd_Signature">
    <vt:bool>false</vt:bool>
  </property>
  <property fmtid="{D5CDD505-2E9C-101B-9397-08002B2CF9AE}" pid="6" name="Year">
    <vt:lpwstr>1061;#2022|06280778-498d-48f0-a347-cef3ee836ead</vt:lpwstr>
  </property>
  <property fmtid="{D5CDD505-2E9C-101B-9397-08002B2CF9AE}" pid="7" name="xd_ProgID">
    <vt:lpwstr/>
  </property>
  <property fmtid="{D5CDD505-2E9C-101B-9397-08002B2CF9AE}" pid="8" name="Town or Village">
    <vt:lpwstr>105;#Regional|e3e47c38-dd51-4b73-9688-3ca508d72557</vt:lpwstr>
  </property>
  <property fmtid="{D5CDD505-2E9C-101B-9397-08002B2CF9AE}" pid="9" name="ComplianceAssetId">
    <vt:lpwstr/>
  </property>
  <property fmtid="{D5CDD505-2E9C-101B-9397-08002B2CF9AE}" pid="10" name="TemplateUrl">
    <vt:lpwstr/>
  </property>
  <property fmtid="{D5CDD505-2E9C-101B-9397-08002B2CF9AE}" pid="11" name="CCC Program Areas">
    <vt:lpwstr/>
  </property>
  <property fmtid="{D5CDD505-2E9C-101B-9397-08002B2CF9AE}" pid="12" name="SiteDomains">
    <vt:lpwstr/>
  </property>
  <property fmtid="{D5CDD505-2E9C-101B-9397-08002B2CF9AE}" pid="13" name="Project ID">
    <vt:lpwstr/>
  </property>
  <property fmtid="{D5CDD505-2E9C-101B-9397-08002B2CF9AE}" pid="14" name="Document Status">
    <vt:lpwstr/>
  </property>
  <property fmtid="{D5CDD505-2E9C-101B-9397-08002B2CF9AE}" pid="15" name="CCC Document Type">
    <vt:lpwstr/>
  </property>
  <property fmtid="{D5CDD505-2E9C-101B-9397-08002B2CF9AE}" pid="16" name="_ExtendedDescription">
    <vt:lpwstr/>
  </property>
  <property fmtid="{D5CDD505-2E9C-101B-9397-08002B2CF9AE}" pid="17" name="Ponds">
    <vt:lpwstr/>
  </property>
  <property fmtid="{D5CDD505-2E9C-101B-9397-08002B2CF9AE}" pid="18" name="Agency">
    <vt:lpwstr/>
  </property>
  <property fmtid="{D5CDD505-2E9C-101B-9397-08002B2CF9AE}" pid="19" name="CCC Keywords">
    <vt:lpwstr/>
  </property>
  <property fmtid="{D5CDD505-2E9C-101B-9397-08002B2CF9AE}" pid="20" name="CCC Plans">
    <vt:lpwstr/>
  </property>
  <property fmtid="{D5CDD505-2E9C-101B-9397-08002B2CF9AE}" pid="21" name="Roadways">
    <vt:lpwstr/>
  </property>
  <property fmtid="{D5CDD505-2E9C-101B-9397-08002B2CF9AE}" pid="22" name="Regulatory Review Types">
    <vt:lpwstr/>
  </property>
  <property fmtid="{D5CDD505-2E9C-101B-9397-08002B2CF9AE}" pid="23" name="Project ID0">
    <vt:lpwstr>966;#climate-action-plan|fcf2599e-19c5-4fe0-9979-ec0738a2bcc1</vt:lpwstr>
  </property>
  <property fmtid="{D5CDD505-2E9C-101B-9397-08002B2CF9AE}" pid="24" name="k20b5b353c2d4a59a44170cce5889c20">
    <vt:lpwstr/>
  </property>
  <property fmtid="{D5CDD505-2E9C-101B-9397-08002B2CF9AE}" pid="25" name="pd51286b66fa4a86843a97fa5c0abf9b">
    <vt:lpwstr/>
  </property>
  <property fmtid="{D5CDD505-2E9C-101B-9397-08002B2CF9AE}" pid="26" name="pf601aed3de749a898c3b06239b052af">
    <vt:lpwstr>Cape Cod Commission|4607cd07-312c-43b3-b5aa-f93d48ff326a</vt:lpwstr>
  </property>
  <property fmtid="{D5CDD505-2E9C-101B-9397-08002B2CF9AE}" pid="27" name="h7e9c4cc72fb4de094bf87e96890c0c2">
    <vt:lpwstr/>
  </property>
  <property fmtid="{D5CDD505-2E9C-101B-9397-08002B2CF9AE}" pid="28" name="aeec274ad21c4909ab5fb112d68909fb">
    <vt:lpwstr/>
  </property>
  <property fmtid="{D5CDD505-2E9C-101B-9397-08002B2CF9AE}" pid="29" name="a7e4010d7db74f61a5af14041442919b">
    <vt:lpwstr/>
  </property>
  <property fmtid="{D5CDD505-2E9C-101B-9397-08002B2CF9AE}" pid="30" name="ned4871b43f142479a1da9e4dec3ead3">
    <vt:lpwstr/>
  </property>
  <property fmtid="{D5CDD505-2E9C-101B-9397-08002B2CF9AE}" pid="31" name="f5e281ca94284717b7c7159eb77159f5">
    <vt:lpwstr>climate-change-initiative|079cc371-488f-406a-978e-bb0810476b88</vt:lpwstr>
  </property>
  <property fmtid="{D5CDD505-2E9C-101B-9397-08002B2CF9AE}" pid="32" name="TaxKeyword">
    <vt:lpwstr/>
  </property>
  <property fmtid="{D5CDD505-2E9C-101B-9397-08002B2CF9AE}" pid="33" name="TaxKeywordTaxHTField">
    <vt:lpwstr/>
  </property>
  <property fmtid="{D5CDD505-2E9C-101B-9397-08002B2CF9AE}" pid="34" name="h112d938ec0d43dd9854c9c3eeef9a58">
    <vt:lpwstr/>
  </property>
  <property fmtid="{D5CDD505-2E9C-101B-9397-08002B2CF9AE}" pid="35" name="Program_x0020_Area">
    <vt:lpwstr/>
  </property>
  <property fmtid="{D5CDD505-2E9C-101B-9397-08002B2CF9AE}" pid="36" name="Wiki Page Categories">
    <vt:lpwstr/>
  </property>
  <property fmtid="{D5CDD505-2E9C-101B-9397-08002B2CF9AE}" pid="37" name="Program Area">
    <vt:lpwstr>265;#Natural Resources|82384d24-d631-41f4-87c4-91b3ef227b96</vt:lpwstr>
  </property>
  <property fmtid="{D5CDD505-2E9C-101B-9397-08002B2CF9AE}" pid="38" name="PublishingContact">
    <vt:lpwstr/>
  </property>
  <property fmtid="{D5CDD505-2E9C-101B-9397-08002B2CF9AE}" pid="39" name="WebPage">
    <vt:lpwstr>, </vt:lpwstr>
  </property>
  <property fmtid="{D5CDD505-2E9C-101B-9397-08002B2CF9AE}" pid="40" name="RatedBy">
    <vt:lpwstr/>
  </property>
  <property fmtid="{D5CDD505-2E9C-101B-9397-08002B2CF9AE}" pid="41" name="PublishingVariationRelationshipLinkFieldID">
    <vt:lpwstr>, </vt:lpwstr>
  </property>
  <property fmtid="{D5CDD505-2E9C-101B-9397-08002B2CF9AE}" pid="42" name="Ratings">
    <vt:lpwstr/>
  </property>
  <property fmtid="{D5CDD505-2E9C-101B-9397-08002B2CF9AE}" pid="43" name="PublishingContactPicture">
    <vt:lpwstr>, </vt:lpwstr>
  </property>
  <property fmtid="{D5CDD505-2E9C-101B-9397-08002B2CF9AE}" pid="44" name="TaskStatus">
    <vt:lpwstr>Not Started</vt:lpwstr>
  </property>
  <property fmtid="{D5CDD505-2E9C-101B-9397-08002B2CF9AE}" pid="45" name="e1a5b98cdd71426dacb6e478c7a5882f">
    <vt:lpwstr/>
  </property>
  <property fmtid="{D5CDD505-2E9C-101B-9397-08002B2CF9AE}" pid="46" name="MediaServiceImageTags">
    <vt:lpwstr/>
  </property>
  <property fmtid="{D5CDD505-2E9C-101B-9397-08002B2CF9AE}" pid="47" name="CCC_x0020_Keywords">
    <vt:lpwstr/>
  </property>
  <property fmtid="{D5CDD505-2E9C-101B-9397-08002B2CF9AE}" pid="48" name="Project_x0020_ID">
    <vt:lpwstr/>
  </property>
  <property fmtid="{D5CDD505-2E9C-101B-9397-08002B2CF9AE}" pid="49" name="Document_x0020_Status">
    <vt:lpwstr/>
  </property>
  <property fmtid="{D5CDD505-2E9C-101B-9397-08002B2CF9AE}" pid="50" name="CCC_x0020_Program_x0020_Areas">
    <vt:lpwstr/>
  </property>
  <property fmtid="{D5CDD505-2E9C-101B-9397-08002B2CF9AE}" pid="51" name="Regulatory_x0020_Review_x0020_Types">
    <vt:lpwstr/>
  </property>
  <property fmtid="{D5CDD505-2E9C-101B-9397-08002B2CF9AE}" pid="52" name="CCC_x0020_Plans">
    <vt:lpwstr/>
  </property>
  <property fmtid="{D5CDD505-2E9C-101B-9397-08002B2CF9AE}" pid="53" name="CCC_x0020_Document_x0020_Type">
    <vt:lpwstr/>
  </property>
</Properties>
</file>